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overflowPunct w:val="0"/>
        <w:adjustRightInd/>
        <w:snapToGrid/>
        <w:spacing w:line="594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pStyle w:val="3"/>
        <w:widowControl w:val="0"/>
        <w:wordWrap/>
        <w:overflowPunct w:val="0"/>
        <w:adjustRightInd/>
        <w:snapToGrid/>
        <w:spacing w:after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 w:val="0"/>
        <w:wordWrap/>
        <w:overflowPunct w:val="0"/>
        <w:adjustRightInd/>
        <w:snapToGrid/>
        <w:spacing w:line="594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2023年川渝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区域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数据标准应用试点实施方案</w:t>
      </w:r>
    </w:p>
    <w:p>
      <w:pPr>
        <w:pStyle w:val="3"/>
        <w:widowControl w:val="0"/>
        <w:wordWrap/>
        <w:overflowPunct w:val="0"/>
        <w:adjustRightInd/>
        <w:snapToGrid/>
        <w:spacing w:after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 w:val="0"/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《数字中国建设整体布局规划》《关于构建数据基础制度更好发挥数据要素作用的意见》精神，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发挥标准对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大数据产业发展的支撑引领作用，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标准化工作创新发展及推广应用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开展川渝</w:t>
      </w:r>
      <w:r>
        <w:rPr>
          <w:rFonts w:hint="eastAsia" w:cs="Times New Roman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数据标准应用试点工作。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一、试点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目标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围绕川渝标准（DB51/T 10002-2022 DB50/10002-2022）《公共信息资源标识规范》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川渝两地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遴选具有代表性的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标准应用试点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市、州（区县）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带动数字经济产业发展的企业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打造一批特色试点示范项目，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一批示范样板工程，</w:t>
      </w:r>
      <w:r>
        <w:rPr>
          <w:rFonts w:hint="default" w:ascii="Times New Roman" w:hAnsi="Times New Roman" w:cs="Times New Roman"/>
          <w:lang w:val="en-US" w:eastAsia="zh-CN" w:bidi="ar"/>
        </w:rPr>
        <w:t>提升标准化项目建设水平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eastAsia="黑体" w:cs="Times New Roman"/>
          <w:color w:val="000000"/>
          <w:sz w:val="32"/>
          <w:szCs w:val="32"/>
          <w:highlight w:val="none"/>
          <w:lang w:val="en-US" w:eastAsia="zh-CN"/>
        </w:rPr>
        <w:t>试点内容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试点项目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围绕《公共信息资源标识规范》，开展标准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应用试点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（标准文本可在全国标准信息公共服务平台查询https://std.samr.gov.cn/）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。标准应用试点周期为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《公共信息资源标识规范》由川渝两地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大数据机构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分别立项、共同起草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，两地市场监管部门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联合审查、联合批准，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了川渝区域公共信息资源的标识分类、标识编码和标识管理规则，适用于两地政务组织、非政务组织和居民公共信息资源的标识、分类、编目、发布、管理。通过细分数据来源，确定数据归属，为两地数据资源提供“身份证”、“产权证”，规范川渝地区公共信息资源标识和应用，有效解决数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来源多、数据治理难等问题，推动数据治理、共享、开放、溯源，助力两地加快培育数据要素市场。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三、试点考核</w:t>
      </w:r>
    </w:p>
    <w:p>
      <w:pPr>
        <w:widowControl w:val="0"/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四川省大数据中心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、重庆市大数据应用发展管理局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将在标准应用试点期满后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评估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评估包括</w:t>
      </w:r>
      <w:r>
        <w:rPr>
          <w:rFonts w:hint="eastAsia" w:cs="Times New Roman"/>
          <w:sz w:val="32"/>
          <w:szCs w:val="32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（一）申报主体应提供关于标准的应用试点情况材料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以联合体形式申报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应用情况应在联合申报单位分别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）申报主体应建立标准试点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领导协调</w:t>
      </w:r>
      <w:r>
        <w:rPr>
          <w:rFonts w:hint="eastAsia" w:cs="Times New Roman"/>
          <w:sz w:val="32"/>
          <w:szCs w:val="32"/>
          <w:lang w:val="en-US" w:eastAsia="zh-CN"/>
        </w:rPr>
        <w:t>机制，开展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标准实施、</w:t>
      </w:r>
      <w:r>
        <w:rPr>
          <w:rFonts w:hint="eastAsia" w:cs="Times New Roman"/>
          <w:sz w:val="32"/>
          <w:szCs w:val="32"/>
          <w:lang w:val="en-US" w:eastAsia="zh-CN"/>
        </w:rPr>
        <w:t>应用推广和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宣贯</w:t>
      </w:r>
      <w:r>
        <w:rPr>
          <w:rFonts w:hint="eastAsia" w:cs="Times New Roman"/>
          <w:sz w:val="32"/>
          <w:szCs w:val="32"/>
          <w:lang w:val="en-US" w:eastAsia="zh-CN"/>
        </w:rPr>
        <w:t>培训等工作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试点应具有创新性和推广价值，总结推广应用试点的成功经验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</w:t>
      </w:r>
      <w:r>
        <w:rPr>
          <w:rFonts w:hint="eastAsia" w:cs="Times New Roman"/>
          <w:color w:val="auto"/>
          <w:sz w:val="32"/>
          <w:szCs w:val="32"/>
          <w:lang w:eastAsia="zh-CN"/>
        </w:rPr>
        <w:t>制（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修</w:t>
      </w:r>
      <w:r>
        <w:rPr>
          <w:rFonts w:hint="eastAsia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订建议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试点标准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应用案例。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四、保障措施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（一）加强组织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四川省大数据中心、重庆市大数据应用发展管理局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标准应用试点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征集、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下达和考核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强化协同推进。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搭建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川渝两地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大数据标准化交流平台，鼓励试点单位与国家大数据标准技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术组织、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和重庆市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大数据标委会、社会团体等组织开展交流合作，加快形成一批标准化成果。试点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项目先进成果适合制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修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订为地标或国标的，予以优先支持。</w:t>
      </w:r>
    </w:p>
    <w:p>
      <w:pPr>
        <w:widowControl w:val="0"/>
        <w:wordWrap/>
        <w:overflowPunct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加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宣传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试点考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核评估优秀的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市州（区县）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四川省大数据中心、重庆市大数据应用发展管理局将授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“川渝数据标准优秀示范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称号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鼓励试点单位将标准应用的成功经验向产业链上下游进行宣贯推广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EBCD"/>
    <w:rsid w:val="7B9300A8"/>
    <w:rsid w:val="FFEFE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文本首行缩进1"/>
    <w:basedOn w:val="3"/>
    <w:qFormat/>
    <w:uiPriority w:val="0"/>
    <w:pPr>
      <w:ind w:firstLine="200" w:firstLineChars="20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2023-04-18T01:36:00Z</dcterms:created>
  <dc:creator>李蒙卷</dc:creator>
  <cp:lastModifiedBy>李蒙卷</cp:lastModifiedBy>
  <dcterms:modified xsi:type="dcterms:W3CDTF">2023-04-17T17:40:01Z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