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兰亭粗黑简体" w:hAnsi="方正兰亭粗黑简体" w:eastAsia="方正兰亭粗黑简体" w:cs="方正兰亭粗黑简体"/>
          <w:color w:val="2F5597" w:themeColor="accent5" w:themeShade="BF"/>
          <w:sz w:val="72"/>
          <w:szCs w:val="72"/>
          <w:lang w:eastAsia="zh-CN"/>
        </w:rPr>
      </w:pPr>
      <w:bookmarkStart w:id="0" w:name="_GoBack"/>
      <w:bookmarkEnd w:id="0"/>
    </w:p>
    <w:p>
      <w:pPr>
        <w:jc w:val="center"/>
        <w:rPr>
          <w:rFonts w:hint="eastAsia" w:ascii="方正兰亭粗黑简体" w:hAnsi="方正兰亭粗黑简体" w:eastAsia="方正兰亭粗黑简体" w:cs="方正兰亭粗黑简体"/>
          <w:color w:val="2F5597" w:themeColor="accent5" w:themeShade="BF"/>
          <w:sz w:val="72"/>
          <w:szCs w:val="72"/>
          <w:lang w:eastAsia="zh-CN"/>
        </w:rPr>
      </w:pPr>
    </w:p>
    <w:p>
      <w:pPr>
        <w:pStyle w:val="2"/>
        <w:rPr>
          <w:rFonts w:hint="eastAsia" w:ascii="方正兰亭粗黑简体" w:hAnsi="方正兰亭粗黑简体" w:eastAsia="方正兰亭粗黑简体" w:cs="方正兰亭粗黑简体"/>
          <w:color w:val="2F5597" w:themeColor="accent5" w:themeShade="BF"/>
          <w:sz w:val="72"/>
          <w:szCs w:val="72"/>
          <w:lang w:eastAsia="zh-CN"/>
        </w:rPr>
      </w:pPr>
    </w:p>
    <w:p>
      <w:pPr>
        <w:numPr>
          <w:ilvl w:val="0"/>
          <w:numId w:val="1"/>
        </w:numPr>
        <w:jc w:val="center"/>
        <w:rPr>
          <w:rFonts w:hint="eastAsia" w:ascii="方正兰亭粗黑简体" w:hAnsi="方正兰亭粗黑简体" w:eastAsia="方正兰亭粗黑简体" w:cs="方正兰亭粗黑简体"/>
          <w:color w:val="2F5597" w:themeColor="accent5" w:themeShade="BF"/>
          <w:sz w:val="72"/>
          <w:szCs w:val="72"/>
        </w:rPr>
      </w:pPr>
      <w:r>
        <w:rPr>
          <w:rFonts w:hint="eastAsia" w:ascii="方正兰亭粗黑简体" w:hAnsi="方正兰亭粗黑简体" w:eastAsia="方正兰亭粗黑简体" w:cs="方正兰亭粗黑简体"/>
          <w:color w:val="2F5597" w:themeColor="accent5" w:themeShade="BF"/>
          <w:sz w:val="72"/>
          <w:szCs w:val="72"/>
          <w:lang w:val="en-US" w:eastAsia="zh-CN"/>
        </w:rPr>
        <w:t xml:space="preserve">  现代</w:t>
      </w:r>
      <w:r>
        <w:rPr>
          <w:rFonts w:hint="eastAsia" w:ascii="方正兰亭粗黑简体" w:hAnsi="方正兰亭粗黑简体" w:eastAsia="方正兰亭粗黑简体" w:cs="方正兰亭粗黑简体"/>
          <w:color w:val="2F5597" w:themeColor="accent5" w:themeShade="BF"/>
          <w:sz w:val="72"/>
          <w:szCs w:val="72"/>
        </w:rPr>
        <w:t>供应链</w:t>
      </w:r>
      <w:r>
        <w:rPr>
          <w:rFonts w:hint="eastAsia" w:ascii="方正兰亭粗黑简体" w:hAnsi="方正兰亭粗黑简体" w:eastAsia="方正兰亭粗黑简体" w:cs="方正兰亭粗黑简体"/>
          <w:color w:val="2F5597" w:themeColor="accent5" w:themeShade="BF"/>
          <w:sz w:val="72"/>
          <w:szCs w:val="72"/>
          <w:lang w:eastAsia="zh-CN"/>
        </w:rPr>
        <w:t>应用场景</w:t>
      </w:r>
      <w:r>
        <w:rPr>
          <w:rFonts w:hint="eastAsia" w:ascii="方正兰亭粗黑简体" w:hAnsi="方正兰亭粗黑简体" w:eastAsia="方正兰亭粗黑简体" w:cs="方正兰亭粗黑简体"/>
          <w:color w:val="2F5597" w:themeColor="accent5" w:themeShade="BF"/>
          <w:sz w:val="72"/>
          <w:szCs w:val="72"/>
        </w:rPr>
        <w:t>需求</w:t>
      </w:r>
      <w:r>
        <w:rPr>
          <w:rFonts w:hint="eastAsia" w:ascii="方正兰亭粗黑简体" w:hAnsi="方正兰亭粗黑简体" w:eastAsia="方正兰亭粗黑简体" w:cs="方正兰亭粗黑简体"/>
          <w:color w:val="2F5597" w:themeColor="accent5" w:themeShade="BF"/>
          <w:sz w:val="72"/>
          <w:szCs w:val="72"/>
          <w:lang w:eastAsia="zh-CN"/>
        </w:rPr>
        <w:t>清单</w:t>
      </w:r>
    </w:p>
    <w:p>
      <w:pPr>
        <w:pStyle w:val="2"/>
        <w:numPr>
          <w:ilvl w:val="0"/>
          <w:numId w:val="0"/>
        </w:numPr>
        <w:rPr>
          <w:rFonts w:hint="eastAsia"/>
        </w:rPr>
      </w:pPr>
    </w:p>
    <w:p>
      <w:pPr>
        <w:pStyle w:val="2"/>
        <w:numPr>
          <w:ilvl w:val="0"/>
          <w:numId w:val="0"/>
        </w:numPr>
        <w:rPr>
          <w:rFonts w:hint="eastAsia"/>
        </w:rPr>
      </w:pPr>
    </w:p>
    <w:p>
      <w:pPr>
        <w:pStyle w:val="2"/>
        <w:numPr>
          <w:ilvl w:val="0"/>
          <w:numId w:val="0"/>
        </w:numPr>
        <w:rPr>
          <w:rFonts w:hint="eastAsia"/>
        </w:rPr>
      </w:pPr>
    </w:p>
    <w:p>
      <w:pPr>
        <w:pStyle w:val="2"/>
        <w:numPr>
          <w:ilvl w:val="0"/>
          <w:numId w:val="0"/>
        </w:numPr>
        <w:rPr>
          <w:rFonts w:hint="eastAsia"/>
        </w:rPr>
      </w:pPr>
    </w:p>
    <w:p>
      <w:pPr>
        <w:pStyle w:val="2"/>
        <w:numPr>
          <w:ilvl w:val="0"/>
          <w:numId w:val="0"/>
        </w:numPr>
        <w:rPr>
          <w:rFonts w:hint="eastAsia"/>
        </w:rPr>
      </w:pPr>
    </w:p>
    <w:p>
      <w:pPr>
        <w:pStyle w:val="2"/>
        <w:numPr>
          <w:ilvl w:val="0"/>
          <w:numId w:val="0"/>
        </w:numPr>
        <w:rPr>
          <w:rFonts w:hint="eastAsia"/>
        </w:rPr>
      </w:pPr>
    </w:p>
    <w:p>
      <w:pPr>
        <w:pStyle w:val="2"/>
        <w:numPr>
          <w:ilvl w:val="0"/>
          <w:numId w:val="0"/>
        </w:numPr>
        <w:rPr>
          <w:rFonts w:hint="eastAsia"/>
        </w:rPr>
      </w:pPr>
    </w:p>
    <w:p>
      <w:pPr>
        <w:pStyle w:val="2"/>
        <w:numPr>
          <w:ilvl w:val="0"/>
          <w:numId w:val="0"/>
        </w:numPr>
        <w:rPr>
          <w:rFonts w:hint="eastAsia"/>
        </w:rPr>
      </w:pPr>
    </w:p>
    <w:p>
      <w:pPr>
        <w:pStyle w:val="2"/>
        <w:numPr>
          <w:ilvl w:val="0"/>
          <w:numId w:val="0"/>
        </w:numPr>
        <w:rPr>
          <w:rFonts w:hint="eastAsia"/>
        </w:rPr>
      </w:pPr>
    </w:p>
    <w:tbl>
      <w:tblPr>
        <w:tblStyle w:val="11"/>
        <w:tblW w:w="14302" w:type="dxa"/>
        <w:tblInd w:w="10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1248"/>
        <w:gridCol w:w="2178"/>
        <w:gridCol w:w="645"/>
        <w:gridCol w:w="990"/>
        <w:gridCol w:w="4578"/>
        <w:gridCol w:w="851"/>
        <w:gridCol w:w="796"/>
        <w:gridCol w:w="1262"/>
        <w:gridCol w:w="975"/>
        <w:gridCol w:w="77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824" w:hRule="atLeast"/>
          <w:tblHeader/>
        </w:trPr>
        <w:tc>
          <w:tcPr>
            <w:tcW w:w="1248" w:type="dxa"/>
            <w:tcBorders>
              <w:top w:val="single" w:color="auto" w:sz="4" w:space="0"/>
              <w:left w:val="single" w:color="auto" w:sz="4" w:space="0"/>
              <w:bottom w:val="single" w:color="auto" w:sz="4" w:space="0"/>
            </w:tcBorders>
            <w:shd w:val="clear" w:color="auto" w:fill="2F5496" w:themeFill="accent5" w:themeFillShade="BF"/>
            <w:vAlign w:val="center"/>
          </w:tcPr>
          <w:p>
            <w:pPr>
              <w:spacing w:line="280" w:lineRule="exact"/>
              <w:jc w:val="center"/>
              <w:rPr>
                <w:rFonts w:ascii="方正兰亭中黑_GBK" w:hAnsi="黑体" w:eastAsia="方正兰亭中黑_GBK"/>
                <w:color w:val="FFFFFF" w:themeColor="background1"/>
                <w:sz w:val="18"/>
                <w:szCs w:val="16"/>
                <w14:textFill>
                  <w14:solidFill>
                    <w14:schemeClr w14:val="bg1"/>
                  </w14:solidFill>
                </w14:textFill>
              </w:rPr>
            </w:pPr>
            <w:r>
              <w:rPr>
                <w:rFonts w:ascii="方正兰亭中黑_GBK" w:hAnsi="黑体" w:eastAsia="方正兰亭中黑_GBK"/>
                <w:color w:val="FFFFFF" w:themeColor="background1"/>
                <w:sz w:val="18"/>
                <w:szCs w:val="16"/>
                <w14:textFill>
                  <w14:solidFill>
                    <w14:schemeClr w14:val="bg1"/>
                  </w14:solidFill>
                </w14:textFill>
              </w:rPr>
              <w:t>场景</w:t>
            </w:r>
            <w:r>
              <w:rPr>
                <w:rFonts w:hint="eastAsia" w:ascii="方正兰亭中黑_GBK" w:hAnsi="黑体" w:eastAsia="方正兰亭中黑_GBK"/>
                <w:color w:val="FFFFFF" w:themeColor="background1"/>
                <w:sz w:val="18"/>
                <w:szCs w:val="16"/>
                <w14:textFill>
                  <w14:solidFill>
                    <w14:schemeClr w14:val="bg1"/>
                  </w14:solidFill>
                </w14:textFill>
              </w:rPr>
              <w:t>名称</w:t>
            </w:r>
          </w:p>
        </w:tc>
        <w:tc>
          <w:tcPr>
            <w:tcW w:w="2178" w:type="dxa"/>
            <w:tcBorders>
              <w:top w:val="single" w:color="auto" w:sz="4" w:space="0"/>
              <w:bottom w:val="single" w:color="auto" w:sz="4" w:space="0"/>
            </w:tcBorders>
            <w:shd w:val="clear" w:color="auto" w:fill="2F5496" w:themeFill="accent5" w:themeFillShade="BF"/>
            <w:vAlign w:val="center"/>
          </w:tcPr>
          <w:p>
            <w:pPr>
              <w:spacing w:line="280" w:lineRule="exact"/>
              <w:jc w:val="center"/>
              <w:rPr>
                <w:rFonts w:hint="eastAsia" w:ascii="方正兰亭中黑_GBK" w:hAnsi="黑体" w:eastAsia="方正兰亭中黑_GBK"/>
                <w:color w:val="FFFFFF" w:themeColor="background1"/>
                <w:sz w:val="18"/>
                <w:szCs w:val="16"/>
                <w:lang w:val="en-US" w:eastAsia="zh-CN"/>
                <w14:textFill>
                  <w14:solidFill>
                    <w14:schemeClr w14:val="bg1"/>
                  </w14:solidFill>
                </w14:textFill>
              </w:rPr>
            </w:pPr>
            <w:r>
              <w:rPr>
                <w:rFonts w:ascii="方正兰亭中黑_GBK" w:hAnsi="黑体" w:eastAsia="方正兰亭中黑_GBK"/>
                <w:color w:val="FFFFFF" w:themeColor="background1"/>
                <w:sz w:val="18"/>
                <w:szCs w:val="16"/>
                <w14:textFill>
                  <w14:solidFill>
                    <w14:schemeClr w14:val="bg1"/>
                  </w14:solidFill>
                </w14:textFill>
              </w:rPr>
              <w:t>场景</w:t>
            </w:r>
            <w:r>
              <w:rPr>
                <w:rFonts w:hint="eastAsia" w:ascii="方正兰亭中黑_GBK" w:hAnsi="黑体" w:eastAsia="方正兰亭中黑_GBK"/>
                <w:color w:val="FFFFFF" w:themeColor="background1"/>
                <w:sz w:val="18"/>
                <w:szCs w:val="16"/>
                <w:lang w:eastAsia="zh-CN"/>
                <w14:textFill>
                  <w14:solidFill>
                    <w14:schemeClr w14:val="bg1"/>
                  </w14:solidFill>
                </w14:textFill>
              </w:rPr>
              <w:t>介绍</w:t>
            </w:r>
          </w:p>
        </w:tc>
        <w:tc>
          <w:tcPr>
            <w:tcW w:w="645" w:type="dxa"/>
            <w:tcBorders>
              <w:top w:val="single" w:color="auto" w:sz="4" w:space="0"/>
              <w:bottom w:val="single" w:color="auto" w:sz="4" w:space="0"/>
            </w:tcBorders>
            <w:shd w:val="clear" w:color="auto" w:fill="2F5496" w:themeFill="accent5" w:themeFillShade="BF"/>
            <w:vAlign w:val="center"/>
          </w:tcPr>
          <w:p>
            <w:pPr>
              <w:spacing w:line="280" w:lineRule="exact"/>
              <w:jc w:val="center"/>
              <w:rPr>
                <w:rFonts w:ascii="方正兰亭中黑_GBK" w:hAnsi="黑体" w:eastAsia="方正兰亭中黑_GBK"/>
                <w:color w:val="FFFFFF" w:themeColor="background1"/>
                <w:sz w:val="18"/>
                <w:szCs w:val="16"/>
                <w14:textFill>
                  <w14:solidFill>
                    <w14:schemeClr w14:val="bg1"/>
                  </w14:solidFill>
                </w14:textFill>
              </w:rPr>
            </w:pPr>
            <w:r>
              <w:rPr>
                <w:rFonts w:ascii="方正兰亭中黑_GBK" w:hAnsi="黑体" w:eastAsia="方正兰亭中黑_GBK"/>
                <w:color w:val="FFFFFF" w:themeColor="background1"/>
                <w:sz w:val="18"/>
                <w:szCs w:val="16"/>
                <w14:textFill>
                  <w14:solidFill>
                    <w14:schemeClr w14:val="bg1"/>
                  </w14:solidFill>
                </w14:textFill>
              </w:rPr>
              <w:t>需求类别</w:t>
            </w:r>
          </w:p>
        </w:tc>
        <w:tc>
          <w:tcPr>
            <w:tcW w:w="990" w:type="dxa"/>
            <w:tcBorders>
              <w:top w:val="single" w:color="auto" w:sz="4" w:space="0"/>
              <w:bottom w:val="single" w:color="auto" w:sz="4" w:space="0"/>
            </w:tcBorders>
            <w:shd w:val="clear" w:color="auto" w:fill="2F5496" w:themeFill="accent5" w:themeFillShade="BF"/>
            <w:vAlign w:val="center"/>
          </w:tcPr>
          <w:p>
            <w:pPr>
              <w:spacing w:line="280" w:lineRule="exact"/>
              <w:jc w:val="center"/>
              <w:rPr>
                <w:rFonts w:ascii="方正兰亭中黑_GBK" w:hAnsi="黑体" w:eastAsia="方正兰亭中黑_GBK"/>
                <w:color w:val="FFFFFF" w:themeColor="background1"/>
                <w:sz w:val="18"/>
                <w:szCs w:val="16"/>
                <w14:textFill>
                  <w14:solidFill>
                    <w14:schemeClr w14:val="bg1"/>
                  </w14:solidFill>
                </w14:textFill>
              </w:rPr>
            </w:pPr>
            <w:r>
              <w:rPr>
                <w:rFonts w:ascii="方正兰亭中黑_GBK" w:hAnsi="黑体" w:eastAsia="方正兰亭中黑_GBK"/>
                <w:color w:val="FFFFFF" w:themeColor="background1"/>
                <w:sz w:val="18"/>
                <w:szCs w:val="16"/>
                <w14:textFill>
                  <w14:solidFill>
                    <w14:schemeClr w14:val="bg1"/>
                  </w14:solidFill>
                </w14:textFill>
              </w:rPr>
              <w:t>名称</w:t>
            </w:r>
          </w:p>
        </w:tc>
        <w:tc>
          <w:tcPr>
            <w:tcW w:w="4578" w:type="dxa"/>
            <w:tcBorders>
              <w:top w:val="single" w:color="auto" w:sz="4" w:space="0"/>
              <w:bottom w:val="single" w:color="auto" w:sz="4" w:space="0"/>
            </w:tcBorders>
            <w:shd w:val="clear" w:color="auto" w:fill="2F5496" w:themeFill="accent5" w:themeFillShade="BF"/>
            <w:vAlign w:val="center"/>
          </w:tcPr>
          <w:p>
            <w:pPr>
              <w:spacing w:line="280" w:lineRule="exact"/>
              <w:jc w:val="center"/>
              <w:rPr>
                <w:rFonts w:ascii="方正兰亭中黑_GBK" w:hAnsi="黑体" w:eastAsia="方正兰亭中黑_GBK"/>
                <w:color w:val="FFFFFF" w:themeColor="background1"/>
                <w:sz w:val="18"/>
                <w:szCs w:val="16"/>
                <w14:textFill>
                  <w14:solidFill>
                    <w14:schemeClr w14:val="bg1"/>
                  </w14:solidFill>
                </w14:textFill>
              </w:rPr>
            </w:pPr>
            <w:r>
              <w:rPr>
                <w:rFonts w:ascii="方正兰亭中黑_GBK" w:hAnsi="黑体" w:eastAsia="方正兰亭中黑_GBK"/>
                <w:color w:val="FFFFFF" w:themeColor="background1"/>
                <w:sz w:val="18"/>
                <w:szCs w:val="16"/>
                <w14:textFill>
                  <w14:solidFill>
                    <w14:schemeClr w14:val="bg1"/>
                  </w14:solidFill>
                </w14:textFill>
              </w:rPr>
              <w:t>需求内容</w:t>
            </w:r>
          </w:p>
        </w:tc>
        <w:tc>
          <w:tcPr>
            <w:tcW w:w="851" w:type="dxa"/>
            <w:tcBorders>
              <w:top w:val="single" w:color="auto" w:sz="4" w:space="0"/>
              <w:bottom w:val="single" w:color="auto" w:sz="4" w:space="0"/>
            </w:tcBorders>
            <w:shd w:val="clear" w:color="auto" w:fill="2F5496" w:themeFill="accent5" w:themeFillShade="BF"/>
            <w:vAlign w:val="center"/>
          </w:tcPr>
          <w:p>
            <w:pPr>
              <w:spacing w:line="280" w:lineRule="exact"/>
              <w:jc w:val="center"/>
              <w:rPr>
                <w:rFonts w:ascii="方正兰亭中黑_GBK" w:hAnsi="黑体" w:eastAsia="方正兰亭中黑_GBK"/>
                <w:color w:val="FFFFFF" w:themeColor="background1"/>
                <w:sz w:val="18"/>
                <w:szCs w:val="16"/>
                <w14:textFill>
                  <w14:solidFill>
                    <w14:schemeClr w14:val="bg1"/>
                  </w14:solidFill>
                </w14:textFill>
              </w:rPr>
            </w:pPr>
            <w:r>
              <w:rPr>
                <w:rFonts w:ascii="方正兰亭中黑_GBK" w:hAnsi="黑体" w:eastAsia="方正兰亭中黑_GBK"/>
                <w:color w:val="FFFFFF" w:themeColor="background1"/>
                <w:sz w:val="18"/>
                <w:szCs w:val="16"/>
                <w14:textFill>
                  <w14:solidFill>
                    <w14:schemeClr w14:val="bg1"/>
                  </w14:solidFill>
                </w14:textFill>
              </w:rPr>
              <w:t>联系</w:t>
            </w:r>
          </w:p>
          <w:p>
            <w:pPr>
              <w:spacing w:line="280" w:lineRule="exact"/>
              <w:jc w:val="center"/>
              <w:rPr>
                <w:rFonts w:ascii="方正兰亭中黑_GBK" w:hAnsi="黑体" w:eastAsia="方正兰亭中黑_GBK"/>
                <w:color w:val="FFFFFF" w:themeColor="background1"/>
                <w:sz w:val="18"/>
                <w:szCs w:val="16"/>
                <w14:textFill>
                  <w14:solidFill>
                    <w14:schemeClr w14:val="bg1"/>
                  </w14:solidFill>
                </w14:textFill>
              </w:rPr>
            </w:pPr>
            <w:r>
              <w:rPr>
                <w:rFonts w:ascii="方正兰亭中黑_GBK" w:hAnsi="黑体" w:eastAsia="方正兰亭中黑_GBK"/>
                <w:color w:val="FFFFFF" w:themeColor="background1"/>
                <w:sz w:val="18"/>
                <w:szCs w:val="16"/>
                <w14:textFill>
                  <w14:solidFill>
                    <w14:schemeClr w14:val="bg1"/>
                  </w14:solidFill>
                </w14:textFill>
              </w:rPr>
              <w:t>单位</w:t>
            </w:r>
          </w:p>
        </w:tc>
        <w:tc>
          <w:tcPr>
            <w:tcW w:w="796" w:type="dxa"/>
            <w:tcBorders>
              <w:top w:val="single" w:color="auto" w:sz="4" w:space="0"/>
              <w:bottom w:val="single" w:color="auto" w:sz="4" w:space="0"/>
            </w:tcBorders>
            <w:shd w:val="clear" w:color="auto" w:fill="2F5496" w:themeFill="accent5" w:themeFillShade="BF"/>
            <w:vAlign w:val="center"/>
          </w:tcPr>
          <w:p>
            <w:pPr>
              <w:spacing w:line="280" w:lineRule="exact"/>
              <w:jc w:val="center"/>
              <w:rPr>
                <w:rFonts w:ascii="方正兰亭中黑_GBK" w:hAnsi="黑体" w:eastAsia="方正兰亭中黑_GBK"/>
                <w:color w:val="FFFFFF" w:themeColor="background1"/>
                <w:sz w:val="18"/>
                <w:szCs w:val="16"/>
                <w14:textFill>
                  <w14:solidFill>
                    <w14:schemeClr w14:val="bg1"/>
                  </w14:solidFill>
                </w14:textFill>
              </w:rPr>
            </w:pPr>
            <w:r>
              <w:rPr>
                <w:rFonts w:ascii="方正兰亭中黑_GBK" w:hAnsi="黑体" w:eastAsia="方正兰亭中黑_GBK"/>
                <w:color w:val="FFFFFF" w:themeColor="background1"/>
                <w:sz w:val="18"/>
                <w:szCs w:val="16"/>
                <w14:textFill>
                  <w14:solidFill>
                    <w14:schemeClr w14:val="bg1"/>
                  </w14:solidFill>
                </w14:textFill>
              </w:rPr>
              <w:t>联系人</w:t>
            </w:r>
          </w:p>
        </w:tc>
        <w:tc>
          <w:tcPr>
            <w:tcW w:w="1262" w:type="dxa"/>
            <w:tcBorders>
              <w:top w:val="single" w:color="auto" w:sz="4" w:space="0"/>
              <w:bottom w:val="single" w:color="auto" w:sz="4" w:space="0"/>
            </w:tcBorders>
            <w:shd w:val="clear" w:color="auto" w:fill="2F5496" w:themeFill="accent5" w:themeFillShade="BF"/>
            <w:vAlign w:val="center"/>
          </w:tcPr>
          <w:p>
            <w:pPr>
              <w:spacing w:line="280" w:lineRule="exact"/>
              <w:jc w:val="center"/>
              <w:rPr>
                <w:rFonts w:ascii="方正兰亭中黑_GBK" w:hAnsi="黑体" w:eastAsia="方正兰亭中黑_GBK"/>
                <w:color w:val="FFFFFF" w:themeColor="background1"/>
                <w:sz w:val="18"/>
                <w:szCs w:val="16"/>
                <w14:textFill>
                  <w14:solidFill>
                    <w14:schemeClr w14:val="bg1"/>
                  </w14:solidFill>
                </w14:textFill>
              </w:rPr>
            </w:pPr>
            <w:r>
              <w:rPr>
                <w:rFonts w:ascii="方正兰亭中黑_GBK" w:hAnsi="黑体" w:eastAsia="方正兰亭中黑_GBK"/>
                <w:color w:val="FFFFFF" w:themeColor="background1"/>
                <w:sz w:val="18"/>
                <w:szCs w:val="16"/>
                <w14:textFill>
                  <w14:solidFill>
                    <w14:schemeClr w14:val="bg1"/>
                  </w14:solidFill>
                </w14:textFill>
              </w:rPr>
              <w:t>联系方式</w:t>
            </w:r>
          </w:p>
        </w:tc>
        <w:tc>
          <w:tcPr>
            <w:tcW w:w="975" w:type="dxa"/>
            <w:tcBorders>
              <w:top w:val="single" w:color="auto" w:sz="4" w:space="0"/>
              <w:bottom w:val="single" w:color="auto" w:sz="4" w:space="0"/>
            </w:tcBorders>
            <w:shd w:val="clear" w:color="auto" w:fill="2F5496" w:themeFill="accent5" w:themeFillShade="BF"/>
            <w:vAlign w:val="center"/>
          </w:tcPr>
          <w:p>
            <w:pPr>
              <w:spacing w:line="280" w:lineRule="exact"/>
              <w:jc w:val="center"/>
              <w:rPr>
                <w:rFonts w:ascii="方正兰亭中黑_GBK" w:hAnsi="黑体" w:eastAsia="方正兰亭中黑_GBK"/>
                <w:color w:val="FFFFFF" w:themeColor="background1"/>
                <w:sz w:val="18"/>
                <w:szCs w:val="16"/>
                <w14:textFill>
                  <w14:solidFill>
                    <w14:schemeClr w14:val="bg1"/>
                  </w14:solidFill>
                </w14:textFill>
              </w:rPr>
            </w:pPr>
            <w:r>
              <w:rPr>
                <w:rFonts w:ascii="方正兰亭中黑_GBK" w:hAnsi="黑体" w:eastAsia="方正兰亭中黑_GBK"/>
                <w:color w:val="FFFFFF" w:themeColor="background1"/>
                <w:sz w:val="18"/>
                <w:szCs w:val="16"/>
                <w14:textFill>
                  <w14:solidFill>
                    <w14:schemeClr w14:val="bg1"/>
                  </w14:solidFill>
                </w14:textFill>
              </w:rPr>
              <w:t>信息</w:t>
            </w:r>
          </w:p>
          <w:p>
            <w:pPr>
              <w:spacing w:line="280" w:lineRule="exact"/>
              <w:jc w:val="center"/>
              <w:rPr>
                <w:rFonts w:ascii="方正兰亭中黑_GBK" w:hAnsi="黑体" w:eastAsia="方正兰亭中黑_GBK"/>
                <w:color w:val="FFFFFF" w:themeColor="background1"/>
                <w:sz w:val="18"/>
                <w:szCs w:val="16"/>
                <w14:textFill>
                  <w14:solidFill>
                    <w14:schemeClr w14:val="bg1"/>
                  </w14:solidFill>
                </w14:textFill>
              </w:rPr>
            </w:pPr>
            <w:r>
              <w:rPr>
                <w:rFonts w:ascii="方正兰亭中黑_GBK" w:hAnsi="黑体" w:eastAsia="方正兰亭中黑_GBK"/>
                <w:color w:val="FFFFFF" w:themeColor="background1"/>
                <w:sz w:val="18"/>
                <w:szCs w:val="16"/>
                <w14:textFill>
                  <w14:solidFill>
                    <w14:schemeClr w14:val="bg1"/>
                  </w14:solidFill>
                </w14:textFill>
              </w:rPr>
              <w:t>有效期</w:t>
            </w:r>
          </w:p>
        </w:tc>
        <w:tc>
          <w:tcPr>
            <w:tcW w:w="779" w:type="dxa"/>
            <w:tcBorders>
              <w:top w:val="single" w:color="auto" w:sz="4" w:space="0"/>
              <w:bottom w:val="single" w:color="auto" w:sz="4" w:space="0"/>
              <w:right w:val="single" w:color="auto" w:sz="4" w:space="0"/>
            </w:tcBorders>
            <w:shd w:val="clear" w:color="auto" w:fill="2F5496" w:themeFill="accent5" w:themeFillShade="BF"/>
            <w:vAlign w:val="center"/>
          </w:tcPr>
          <w:p>
            <w:pPr>
              <w:spacing w:line="280" w:lineRule="exact"/>
              <w:jc w:val="center"/>
              <w:rPr>
                <w:rFonts w:ascii="方正兰亭中黑_GBK" w:hAnsi="黑体" w:eastAsia="方正兰亭中黑_GBK"/>
                <w:color w:val="FFFFFF" w:themeColor="background1"/>
                <w:sz w:val="18"/>
                <w:szCs w:val="16"/>
                <w14:textFill>
                  <w14:solidFill>
                    <w14:schemeClr w14:val="bg1"/>
                  </w14:solidFill>
                </w14:textFill>
              </w:rPr>
            </w:pPr>
            <w:r>
              <w:rPr>
                <w:rFonts w:ascii="方正兰亭中黑_GBK" w:hAnsi="黑体" w:eastAsia="方正兰亭中黑_GBK"/>
                <w:color w:val="FFFFFF" w:themeColor="background1"/>
                <w:sz w:val="18"/>
                <w:szCs w:val="16"/>
                <w14:textFill>
                  <w14:solidFill>
                    <w14:schemeClr w14:val="bg1"/>
                  </w14:solidFill>
                </w14:textFill>
              </w:rPr>
              <w:t>所属</w:t>
            </w:r>
          </w:p>
          <w:p>
            <w:pPr>
              <w:spacing w:line="280" w:lineRule="exact"/>
              <w:jc w:val="center"/>
              <w:rPr>
                <w:rFonts w:ascii="方正兰亭中黑_GBK" w:hAnsi="黑体" w:eastAsia="方正兰亭中黑_GBK"/>
                <w:color w:val="FFFFFF" w:themeColor="background1"/>
                <w:sz w:val="18"/>
                <w:szCs w:val="16"/>
                <w14:textFill>
                  <w14:solidFill>
                    <w14:schemeClr w14:val="bg1"/>
                  </w14:solidFill>
                </w14:textFill>
              </w:rPr>
            </w:pPr>
            <w:r>
              <w:rPr>
                <w:rFonts w:ascii="方正兰亭中黑_GBK" w:hAnsi="黑体" w:eastAsia="方正兰亭中黑_GBK"/>
                <w:color w:val="FFFFFF" w:themeColor="background1"/>
                <w:sz w:val="18"/>
                <w:szCs w:val="16"/>
                <w14:textFill>
                  <w14:solidFill>
                    <w14:schemeClr w14:val="bg1"/>
                  </w14:solidFill>
                </w14:textFill>
              </w:rPr>
              <w:t>产业</w:t>
            </w:r>
          </w:p>
          <w:p>
            <w:pPr>
              <w:spacing w:line="280" w:lineRule="exact"/>
              <w:jc w:val="center"/>
              <w:rPr>
                <w:rFonts w:ascii="方正兰亭中黑_GBK" w:hAnsi="黑体" w:eastAsia="方正兰亭中黑_GBK"/>
                <w:color w:val="FFFFFF" w:themeColor="background1"/>
                <w:sz w:val="18"/>
                <w:szCs w:val="16"/>
                <w14:textFill>
                  <w14:solidFill>
                    <w14:schemeClr w14:val="bg1"/>
                  </w14:solidFill>
                </w14:textFill>
              </w:rPr>
            </w:pPr>
            <w:r>
              <w:rPr>
                <w:rFonts w:ascii="方正兰亭中黑_GBK" w:hAnsi="黑体" w:eastAsia="方正兰亭中黑_GBK"/>
                <w:color w:val="FFFFFF" w:themeColor="background1"/>
                <w:sz w:val="18"/>
                <w:szCs w:val="16"/>
                <w14:textFill>
                  <w14:solidFill>
                    <w14:schemeClr w14:val="bg1"/>
                  </w14:solidFill>
                </w14:textFill>
              </w:rPr>
              <w:t>功能区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290" w:hRule="atLeast"/>
        </w:trPr>
        <w:tc>
          <w:tcPr>
            <w:tcW w:w="1248" w:type="dxa"/>
            <w:vMerge w:val="restart"/>
            <w:tcBorders>
              <w:top w:val="single" w:color="auto" w:sz="4" w:space="0"/>
              <w:left w:val="single" w:color="auto" w:sz="4" w:space="0"/>
              <w:right w:val="single" w:color="auto" w:sz="4" w:space="0"/>
            </w:tcBorders>
            <w:shd w:val="clear" w:color="auto" w:fill="9CC2E5" w:themeFill="accent1" w:themeFillTint="99"/>
            <w:vAlign w:val="center"/>
          </w:tcPr>
          <w:p>
            <w:pPr>
              <w:spacing w:line="240" w:lineRule="exact"/>
              <w:jc w:val="center"/>
              <w:rPr>
                <w:rFonts w:ascii="方正兰亭黑_GBK" w:hAnsi="方正兰亭黑_GBK" w:eastAsia="方正兰亭黑_GBK" w:cs="方正兰亭黑_GBK"/>
                <w:color w:val="000000"/>
                <w:sz w:val="18"/>
                <w:szCs w:val="18"/>
              </w:rPr>
            </w:pPr>
            <w:r>
              <w:rPr>
                <w:rFonts w:ascii="方正兰亭黑_GBK" w:hAnsi="方正兰亭黑_GBK" w:eastAsia="方正兰亭黑_GBK" w:cs="方正兰亭黑_GBK"/>
                <w:color w:val="000000"/>
                <w:sz w:val="18"/>
                <w:szCs w:val="18"/>
              </w:rPr>
              <w:t>多式联运</w:t>
            </w:r>
          </w:p>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w:t>
            </w:r>
            <w:r>
              <w:rPr>
                <w:rFonts w:ascii="方正兰亭黑_GBK" w:hAnsi="方正兰亭黑_GBK" w:eastAsia="方正兰亭黑_GBK" w:cs="方正兰亭黑_GBK"/>
                <w:color w:val="000000"/>
                <w:sz w:val="18"/>
                <w:szCs w:val="18"/>
              </w:rPr>
              <w:t>一单制</w:t>
            </w:r>
            <w:r>
              <w:rPr>
                <w:rFonts w:hint="eastAsia" w:ascii="方正兰亭黑_GBK" w:hAnsi="方正兰亭黑_GBK" w:eastAsia="方正兰亭黑_GBK" w:cs="方正兰亭黑_GBK"/>
                <w:color w:val="000000"/>
                <w:sz w:val="18"/>
                <w:szCs w:val="18"/>
              </w:rPr>
              <w:t>”</w:t>
            </w:r>
          </w:p>
          <w:p>
            <w:pPr>
              <w:spacing w:line="240" w:lineRule="exact"/>
              <w:jc w:val="center"/>
              <w:rPr>
                <w:rFonts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5"/>
                <w:szCs w:val="15"/>
              </w:rPr>
              <w:t>（成都青白江）</w:t>
            </w:r>
          </w:p>
        </w:tc>
        <w:tc>
          <w:tcPr>
            <w:tcW w:w="2178" w:type="dxa"/>
            <w:vMerge w:val="restart"/>
            <w:tcBorders>
              <w:top w:val="single" w:color="auto" w:sz="4" w:space="0"/>
              <w:left w:val="single" w:color="auto" w:sz="4" w:space="0"/>
              <w:right w:val="single" w:color="auto" w:sz="4" w:space="0"/>
            </w:tcBorders>
            <w:shd w:val="clear" w:color="auto" w:fill="BDD6EE" w:themeFill="accent1" w:themeFillTint="66"/>
            <w:vAlign w:val="center"/>
          </w:tcPr>
          <w:p>
            <w:pPr>
              <w:spacing w:line="240" w:lineRule="exact"/>
              <w:jc w:val="both"/>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多式联运“一单制”场景基于“一次委托、一口报价、一单到底、一票结算”的多式联运单证创新模式，通过搭建物联网信息平台，整合境内外物流服务供应商及相关物流、贸易数据，引入物流领域专业人才，形成成都“一单制”规则，推进跨境多式联运及中欧班列的信息化进程，打造1-10亿的港口金融服务生态圈；通过平台探索无纸化的交付流程，提高境内外单证传递效率；为跨境贸易提供门到门可追溯物流服务；实现“一单制”人民币结算，推进人民币国际化进程</w:t>
            </w:r>
          </w:p>
        </w:tc>
        <w:tc>
          <w:tcPr>
            <w:tcW w:w="645" w:type="dxa"/>
            <w:tcBorders>
              <w:top w:val="single" w:color="auto" w:sz="4" w:space="0"/>
              <w:left w:val="single" w:color="auto" w:sz="4" w:space="0"/>
              <w:bottom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方正兰亭黑_GBK" w:hAnsi="方正兰亭黑_GBK" w:eastAsia="方正兰亭黑_GBK" w:cs="方正兰亭黑_GBK"/>
                <w:color w:val="000000"/>
                <w:sz w:val="18"/>
                <w:szCs w:val="18"/>
              </w:rPr>
              <w:t>基础设施</w:t>
            </w:r>
            <w:r>
              <w:rPr>
                <w:rFonts w:hint="eastAsia" w:ascii="方正兰亭黑_GBK" w:hAnsi="方正兰亭黑_GBK" w:eastAsia="方正兰亭黑_GBK" w:cs="方正兰亭黑_GBK"/>
                <w:color w:val="000000"/>
                <w:sz w:val="18"/>
                <w:szCs w:val="18"/>
              </w:rPr>
              <w:t>建设</w:t>
            </w:r>
          </w:p>
        </w:tc>
        <w:tc>
          <w:tcPr>
            <w:tcW w:w="990" w:type="dxa"/>
            <w:tcBorders>
              <w:top w:val="single" w:color="auto" w:sz="4" w:space="0"/>
              <w:bottom w:val="single" w:color="auto" w:sz="4" w:space="0"/>
            </w:tcBorders>
            <w:shd w:val="clear" w:color="auto" w:fill="DEEBF6" w:themeFill="accent1" w:themeFillTint="32"/>
            <w:vAlign w:val="center"/>
          </w:tcPr>
          <w:p>
            <w:pPr>
              <w:spacing w:line="240" w:lineRule="exact"/>
              <w:jc w:val="center"/>
              <w:rPr>
                <w:rFonts w:hint="eastAsia"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多式联运</w:t>
            </w:r>
            <w:r>
              <w:rPr>
                <w:rFonts w:hint="eastAsia" w:asciiTheme="minorEastAsia" w:hAnsiTheme="minorEastAsia" w:eastAsiaTheme="minorEastAsia" w:cstheme="minorEastAsia"/>
                <w:sz w:val="18"/>
                <w:szCs w:val="18"/>
              </w:rPr>
              <w:t>“</w:t>
            </w:r>
            <w:r>
              <w:rPr>
                <w:rFonts w:asciiTheme="minorEastAsia" w:hAnsiTheme="minorEastAsia" w:eastAsiaTheme="minorEastAsia" w:cstheme="minorEastAsia"/>
                <w:sz w:val="18"/>
                <w:szCs w:val="18"/>
              </w:rPr>
              <w:t>一单制</w:t>
            </w:r>
            <w:r>
              <w:rPr>
                <w:rFonts w:hint="eastAsia" w:asciiTheme="minorEastAsia" w:hAnsiTheme="minorEastAsia" w:eastAsiaTheme="minorEastAsia" w:cstheme="minorEastAsia"/>
                <w:sz w:val="18"/>
                <w:szCs w:val="18"/>
              </w:rPr>
              <w:t>”</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物联网</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信息平台构建</w:t>
            </w:r>
          </w:p>
        </w:tc>
        <w:tc>
          <w:tcPr>
            <w:tcW w:w="4578" w:type="dxa"/>
            <w:tcBorders>
              <w:top w:val="single" w:color="auto" w:sz="4" w:space="0"/>
              <w:bottom w:val="single" w:color="auto" w:sz="4" w:space="0"/>
            </w:tcBorders>
            <w:shd w:val="clear" w:color="auto" w:fill="DEEBF6" w:themeFill="accent1" w:themeFillTint="32"/>
            <w:vAlign w:val="center"/>
          </w:tcPr>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项目地点：成都市青白江区香道大道1509号</w:t>
            </w:r>
          </w:p>
          <w:p>
            <w:pPr>
              <w:keepNext w:val="0"/>
              <w:keepLines w:val="0"/>
              <w:pageBreakBefore w:val="0"/>
              <w:widowControl/>
              <w:kinsoku/>
              <w:wordWrap/>
              <w:overflowPunct/>
              <w:topLinePunct w:val="0"/>
              <w:autoSpaceDE/>
              <w:autoSpaceDN/>
              <w:bidi w:val="0"/>
              <w:adjustRightInd/>
              <w:snapToGrid/>
              <w:spacing w:line="240" w:lineRule="exact"/>
              <w:ind w:left="0" w:leftChars="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建设内容：包括监控、追踪设备</w:t>
            </w:r>
            <w:r>
              <w:rPr>
                <w:rFonts w:hint="eastAsia" w:asciiTheme="minorEastAsia" w:hAnsiTheme="minorEastAsia" w:eastAsiaTheme="minorEastAsia" w:cstheme="minorEastAsia"/>
                <w:sz w:val="18"/>
                <w:szCs w:val="18"/>
              </w:rPr>
              <w:t>采购，</w:t>
            </w:r>
            <w:r>
              <w:rPr>
                <w:rFonts w:asciiTheme="minorEastAsia" w:hAnsiTheme="minorEastAsia" w:eastAsiaTheme="minorEastAsia" w:cstheme="minorEastAsia"/>
                <w:sz w:val="18"/>
                <w:szCs w:val="18"/>
              </w:rPr>
              <w:t>大数据、区块链分析</w:t>
            </w:r>
            <w:r>
              <w:rPr>
                <w:rFonts w:hint="eastAsia" w:asciiTheme="minorEastAsia" w:hAnsiTheme="minorEastAsia" w:eastAsiaTheme="minorEastAsia" w:cstheme="minorEastAsia"/>
                <w:sz w:val="18"/>
                <w:szCs w:val="18"/>
              </w:rPr>
              <w:t>等</w:t>
            </w:r>
            <w:r>
              <w:rPr>
                <w:rFonts w:asciiTheme="minorEastAsia" w:hAnsiTheme="minorEastAsia" w:eastAsiaTheme="minorEastAsia" w:cstheme="minorEastAsia"/>
                <w:sz w:val="18"/>
                <w:szCs w:val="18"/>
              </w:rPr>
              <w:t>信息</w:t>
            </w:r>
            <w:r>
              <w:rPr>
                <w:rFonts w:hint="eastAsia" w:asciiTheme="minorEastAsia" w:hAnsiTheme="minorEastAsia" w:eastAsiaTheme="minorEastAsia" w:cstheme="minorEastAsia"/>
                <w:sz w:val="18"/>
                <w:szCs w:val="18"/>
              </w:rPr>
              <w:t>化</w:t>
            </w:r>
            <w:r>
              <w:rPr>
                <w:rFonts w:asciiTheme="minorEastAsia" w:hAnsiTheme="minorEastAsia" w:eastAsiaTheme="minorEastAsia" w:cstheme="minorEastAsia"/>
                <w:sz w:val="18"/>
                <w:szCs w:val="18"/>
              </w:rPr>
              <w:t>平台、物联网平台、供应商管理平台、金融保险平台</w:t>
            </w:r>
            <w:r>
              <w:rPr>
                <w:rFonts w:hint="eastAsia" w:asciiTheme="minorEastAsia" w:hAnsiTheme="minorEastAsia" w:eastAsiaTheme="minorEastAsia" w:cstheme="minorEastAsia"/>
                <w:sz w:val="18"/>
                <w:szCs w:val="18"/>
              </w:rPr>
              <w:t>等系统平台搭建</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建设周期：2019-2021</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估算投资：1000万元</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具体需求：</w:t>
            </w:r>
            <w:r>
              <w:rPr>
                <w:rFonts w:asciiTheme="minorEastAsia" w:hAnsiTheme="minorEastAsia" w:eastAsiaTheme="minorEastAsia" w:cstheme="minorEastAsia"/>
                <w:spacing w:val="-6"/>
                <w:sz w:val="18"/>
                <w:szCs w:val="18"/>
              </w:rPr>
              <w:t>通过招投标引入第三方信息服务及设备提供方</w:t>
            </w:r>
          </w:p>
        </w:tc>
        <w:tc>
          <w:tcPr>
            <w:tcW w:w="851" w:type="dxa"/>
            <w:tcBorders>
              <w:top w:val="single" w:color="auto" w:sz="4" w:space="0"/>
              <w:bottom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成都</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国际</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陆港</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运营</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有限</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公司</w:t>
            </w:r>
          </w:p>
        </w:tc>
        <w:tc>
          <w:tcPr>
            <w:tcW w:w="796" w:type="dxa"/>
            <w:tcBorders>
              <w:top w:val="single" w:color="auto" w:sz="4" w:space="0"/>
              <w:bottom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陈然</w:t>
            </w:r>
          </w:p>
        </w:tc>
        <w:tc>
          <w:tcPr>
            <w:tcW w:w="1262" w:type="dxa"/>
            <w:tcBorders>
              <w:top w:val="single" w:color="auto" w:sz="4" w:space="0"/>
              <w:bottom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18583829933</w:t>
            </w:r>
          </w:p>
        </w:tc>
        <w:tc>
          <w:tcPr>
            <w:tcW w:w="975" w:type="dxa"/>
            <w:vMerge w:val="restart"/>
            <w:tcBorders>
              <w:top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2019.</w:t>
            </w:r>
            <w:r>
              <w:rPr>
                <w:rFonts w:hint="eastAsia" w:asciiTheme="minorEastAsia" w:hAnsiTheme="minorEastAsia" w:eastAsiaTheme="minorEastAsia" w:cstheme="minorEastAsia"/>
                <w:sz w:val="18"/>
                <w:szCs w:val="18"/>
              </w:rPr>
              <w:t>10</w:t>
            </w:r>
            <w:r>
              <w:rPr>
                <w:rFonts w:asciiTheme="minorEastAsia" w:hAnsiTheme="minorEastAsia" w:eastAsiaTheme="minorEastAsia" w:cstheme="minorEastAsia"/>
                <w:sz w:val="18"/>
                <w:szCs w:val="18"/>
              </w:rPr>
              <w:t>-1</w:t>
            </w:r>
            <w:r>
              <w:rPr>
                <w:rFonts w:hint="eastAsia" w:asciiTheme="minorEastAsia" w:hAnsiTheme="minorEastAsia" w:eastAsiaTheme="minorEastAsia" w:cstheme="minorEastAsia"/>
                <w:sz w:val="18"/>
                <w:szCs w:val="18"/>
              </w:rPr>
              <w:t>2</w:t>
            </w:r>
          </w:p>
        </w:tc>
        <w:tc>
          <w:tcPr>
            <w:tcW w:w="779" w:type="dxa"/>
            <w:vMerge w:val="restart"/>
            <w:tcBorders>
              <w:top w:val="single" w:color="auto" w:sz="4" w:space="0"/>
              <w:right w:val="single" w:color="auto" w:sz="4" w:space="0"/>
            </w:tcBorders>
            <w:shd w:val="clear" w:color="auto" w:fill="DEEBF6" w:themeFill="accent1" w:themeFillTint="32"/>
            <w:vAlign w:val="center"/>
          </w:tcPr>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临港</w:t>
            </w:r>
          </w:p>
          <w:p>
            <w:pPr>
              <w:spacing w:line="240" w:lineRule="exact"/>
              <w:jc w:val="center"/>
              <w:rPr>
                <w:rFonts w:hint="eastAsia" w:ascii="方正兰亭黑_GBK" w:hAnsi="方正兰亭黑_GBK" w:eastAsia="方正兰亭黑_GBK" w:cs="方正兰亭黑_GBK"/>
                <w:sz w:val="18"/>
                <w:szCs w:val="18"/>
              </w:rPr>
            </w:pPr>
            <w:r>
              <w:rPr>
                <w:rFonts w:hint="eastAsia" w:ascii="方正兰亭黑_GBK" w:hAnsi="方正兰亭黑_GBK" w:eastAsia="方正兰亭黑_GBK" w:cs="方正兰亭黑_GBK"/>
                <w:color w:val="000000"/>
                <w:sz w:val="18"/>
                <w:szCs w:val="18"/>
              </w:rPr>
              <w:t>服务业功能区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654" w:hRule="atLeast"/>
        </w:trPr>
        <w:tc>
          <w:tcPr>
            <w:tcW w:w="1248" w:type="dxa"/>
            <w:vMerge w:val="continue"/>
            <w:tcBorders>
              <w:left w:val="single" w:color="auto" w:sz="4" w:space="0"/>
              <w:right w:val="single" w:color="auto" w:sz="4" w:space="0"/>
            </w:tcBorders>
            <w:shd w:val="clear" w:color="auto" w:fill="9CC2E5" w:themeFill="accent1" w:themeFillTint="99"/>
            <w:vAlign w:val="center"/>
          </w:tcPr>
          <w:p>
            <w:pPr>
              <w:spacing w:line="240" w:lineRule="exact"/>
              <w:jc w:val="center"/>
              <w:rPr>
                <w:rFonts w:asciiTheme="minorEastAsia" w:hAnsiTheme="minorEastAsia" w:eastAsiaTheme="minorEastAsia" w:cstheme="minorEastAsia"/>
                <w:sz w:val="18"/>
                <w:szCs w:val="18"/>
              </w:rPr>
            </w:pPr>
          </w:p>
        </w:tc>
        <w:tc>
          <w:tcPr>
            <w:tcW w:w="2178" w:type="dxa"/>
            <w:vMerge w:val="continue"/>
            <w:tcBorders>
              <w:left w:val="single" w:color="auto" w:sz="4" w:space="0"/>
              <w:right w:val="single" w:color="auto" w:sz="4" w:space="0"/>
            </w:tcBorders>
            <w:shd w:val="clear" w:color="auto" w:fill="BDD6EE" w:themeFill="accent1" w:themeFillTint="66"/>
            <w:vAlign w:val="center"/>
          </w:tcPr>
          <w:p>
            <w:pPr>
              <w:spacing w:line="240" w:lineRule="exact"/>
              <w:jc w:val="both"/>
              <w:rPr>
                <w:rFonts w:asciiTheme="minorEastAsia" w:hAnsiTheme="minorEastAsia" w:eastAsiaTheme="minorEastAsia" w:cstheme="minorEastAsia"/>
                <w:sz w:val="18"/>
                <w:szCs w:val="18"/>
              </w:rPr>
            </w:pPr>
          </w:p>
        </w:tc>
        <w:tc>
          <w:tcPr>
            <w:tcW w:w="645" w:type="dxa"/>
            <w:vMerge w:val="restart"/>
            <w:tcBorders>
              <w:top w:val="single" w:color="auto" w:sz="4" w:space="0"/>
              <w:left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方正兰亭黑_GBK" w:hAnsi="方正兰亭黑_GBK" w:eastAsia="方正兰亭黑_GBK" w:cs="方正兰亭黑_GBK"/>
                <w:color w:val="000000"/>
                <w:sz w:val="18"/>
                <w:szCs w:val="18"/>
              </w:rPr>
              <w:t>人才需求</w:t>
            </w:r>
          </w:p>
        </w:tc>
        <w:tc>
          <w:tcPr>
            <w:tcW w:w="990" w:type="dxa"/>
            <w:tcBorders>
              <w:top w:val="single" w:color="auto" w:sz="4" w:space="0"/>
              <w:bottom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物流（中欧班列）行业</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研究员</w:t>
            </w:r>
          </w:p>
        </w:tc>
        <w:tc>
          <w:tcPr>
            <w:tcW w:w="4578" w:type="dxa"/>
            <w:tcBorders>
              <w:top w:val="single" w:color="auto" w:sz="4" w:space="0"/>
              <w:bottom w:val="single" w:color="auto" w:sz="4" w:space="0"/>
            </w:tcBorders>
            <w:shd w:val="clear" w:color="auto" w:fill="DEEBF6" w:themeFill="accent1" w:themeFillTint="32"/>
            <w:vAlign w:val="center"/>
          </w:tcPr>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专业要求：国际物流、供应链（管理）相关专业</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资历要求：硕士及以上学历，三年及以上相关行业工作经验</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能力要求：1、熟悉行业产业链，较强的信息搜集、数据处理能力；2、独立的行业研究、判断能力、书面表达能力，能够独立完成行业研究分析报告；3、良好的英语能力（较强的英语口语能力），能与外商流利交流沟通，有俄语、德语基础者优先考虑</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招聘数量：1</w:t>
            </w:r>
            <w:r>
              <w:rPr>
                <w:rFonts w:hint="eastAsia" w:asciiTheme="minorEastAsia" w:hAnsiTheme="minorEastAsia" w:eastAsiaTheme="minorEastAsia" w:cstheme="minorEastAsia"/>
                <w:sz w:val="18"/>
                <w:szCs w:val="18"/>
              </w:rPr>
              <w:t>名</w:t>
            </w:r>
          </w:p>
        </w:tc>
        <w:tc>
          <w:tcPr>
            <w:tcW w:w="851" w:type="dxa"/>
            <w:vMerge w:val="restart"/>
            <w:tcBorders>
              <w:top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成都</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国际</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铁路港投资</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发展</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有限</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公司</w:t>
            </w:r>
          </w:p>
        </w:tc>
        <w:tc>
          <w:tcPr>
            <w:tcW w:w="796" w:type="dxa"/>
            <w:vMerge w:val="restart"/>
            <w:tcBorders>
              <w:top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龚庆</w:t>
            </w:r>
          </w:p>
        </w:tc>
        <w:tc>
          <w:tcPr>
            <w:tcW w:w="1262" w:type="dxa"/>
            <w:vMerge w:val="restart"/>
            <w:tcBorders>
              <w:top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pacing w:val="-6"/>
                <w:sz w:val="18"/>
                <w:szCs w:val="18"/>
              </w:rPr>
              <w:t>028-8</w:t>
            </w:r>
            <w:r>
              <w:rPr>
                <w:rFonts w:asciiTheme="minorEastAsia" w:hAnsiTheme="minorEastAsia" w:eastAsiaTheme="minorEastAsia" w:cstheme="minorEastAsia"/>
                <w:spacing w:val="-6"/>
                <w:sz w:val="18"/>
                <w:szCs w:val="18"/>
              </w:rPr>
              <w:t>9339097</w:t>
            </w:r>
          </w:p>
        </w:tc>
        <w:tc>
          <w:tcPr>
            <w:tcW w:w="975" w:type="dxa"/>
            <w:vMerge w:val="continue"/>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p>
        </w:tc>
        <w:tc>
          <w:tcPr>
            <w:tcW w:w="779" w:type="dxa"/>
            <w:vMerge w:val="continue"/>
            <w:tcBorders>
              <w:right w:val="single" w:color="auto" w:sz="4" w:space="0"/>
            </w:tcBorders>
            <w:shd w:val="clear" w:color="auto" w:fill="DEEBF6" w:themeFill="accent1" w:themeFillTint="32"/>
            <w:vAlign w:val="center"/>
          </w:tcPr>
          <w:p>
            <w:pPr>
              <w:spacing w:line="240" w:lineRule="exact"/>
              <w:rPr>
                <w:rFonts w:hint="eastAsia" w:ascii="方正兰亭黑_GBK" w:hAnsi="方正兰亭黑_GBK" w:eastAsia="方正兰亭黑_GBK" w:cs="方正兰亭黑_GBK"/>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138" w:hRule="atLeast"/>
        </w:trPr>
        <w:tc>
          <w:tcPr>
            <w:tcW w:w="1248" w:type="dxa"/>
            <w:vMerge w:val="continue"/>
            <w:tcBorders>
              <w:left w:val="single" w:color="auto" w:sz="4" w:space="0"/>
              <w:bottom w:val="single" w:color="auto" w:sz="4" w:space="0"/>
              <w:right w:val="single" w:color="auto" w:sz="4" w:space="0"/>
            </w:tcBorders>
            <w:shd w:val="clear" w:color="auto" w:fill="9CC2E5" w:themeFill="accent1" w:themeFillTint="99"/>
            <w:vAlign w:val="center"/>
          </w:tcPr>
          <w:p>
            <w:pPr>
              <w:spacing w:line="240" w:lineRule="exact"/>
              <w:jc w:val="center"/>
              <w:rPr>
                <w:rFonts w:asciiTheme="minorEastAsia" w:hAnsiTheme="minorEastAsia" w:eastAsiaTheme="minorEastAsia" w:cstheme="minorEastAsia"/>
                <w:sz w:val="18"/>
                <w:szCs w:val="18"/>
              </w:rPr>
            </w:pPr>
          </w:p>
        </w:tc>
        <w:tc>
          <w:tcPr>
            <w:tcW w:w="2178" w:type="dxa"/>
            <w:vMerge w:val="continue"/>
            <w:tcBorders>
              <w:left w:val="single" w:color="auto" w:sz="4" w:space="0"/>
              <w:bottom w:val="single" w:color="auto" w:sz="4" w:space="0"/>
              <w:right w:val="single" w:color="auto" w:sz="4" w:space="0"/>
            </w:tcBorders>
            <w:shd w:val="clear" w:color="auto" w:fill="BDD6EE" w:themeFill="accent1" w:themeFillTint="66"/>
            <w:vAlign w:val="center"/>
          </w:tcPr>
          <w:p>
            <w:pPr>
              <w:spacing w:line="240" w:lineRule="exact"/>
              <w:jc w:val="both"/>
              <w:rPr>
                <w:rFonts w:asciiTheme="minorEastAsia" w:hAnsiTheme="minorEastAsia" w:eastAsiaTheme="minorEastAsia" w:cstheme="minorEastAsia"/>
                <w:sz w:val="18"/>
                <w:szCs w:val="18"/>
              </w:rPr>
            </w:pPr>
          </w:p>
        </w:tc>
        <w:tc>
          <w:tcPr>
            <w:tcW w:w="645" w:type="dxa"/>
            <w:vMerge w:val="continue"/>
            <w:tcBorders>
              <w:left w:val="single" w:color="auto" w:sz="4" w:space="0"/>
              <w:bottom w:val="single" w:color="auto" w:sz="4" w:space="0"/>
            </w:tcBorders>
            <w:shd w:val="clear" w:color="auto" w:fill="DEEBF6" w:themeFill="accent1" w:themeFillTint="32"/>
            <w:vAlign w:val="center"/>
          </w:tcPr>
          <w:p>
            <w:pPr>
              <w:spacing w:line="240" w:lineRule="exact"/>
              <w:rPr>
                <w:rFonts w:asciiTheme="minorEastAsia" w:hAnsiTheme="minorEastAsia" w:eastAsiaTheme="minorEastAsia" w:cstheme="minorEastAsia"/>
                <w:sz w:val="18"/>
                <w:szCs w:val="18"/>
              </w:rPr>
            </w:pPr>
          </w:p>
        </w:tc>
        <w:tc>
          <w:tcPr>
            <w:tcW w:w="990" w:type="dxa"/>
            <w:tcBorders>
              <w:top w:val="single" w:color="auto" w:sz="4" w:space="0"/>
              <w:bottom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物流资源管理人才</w:t>
            </w:r>
          </w:p>
        </w:tc>
        <w:tc>
          <w:tcPr>
            <w:tcW w:w="4578" w:type="dxa"/>
            <w:tcBorders>
              <w:top w:val="single" w:color="auto" w:sz="4" w:space="0"/>
              <w:bottom w:val="single" w:color="auto" w:sz="4" w:space="0"/>
            </w:tcBorders>
            <w:shd w:val="clear" w:color="auto" w:fill="DEEBF6" w:themeFill="accent1" w:themeFillTint="32"/>
            <w:vAlign w:val="center"/>
          </w:tcPr>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专业要求：国际物流、供应链（管理）、市场营销等相关专业</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资历要求：硕士及以上学历，三年及以上大中型企业物流/采购工作经验</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能力要求：1、良好的英语能力（较强的英语口语能力），能与外商流利交流沟通，有俄语、德语基础者优先考虑；2、信息搜集、数据筛选、处理和市场分析研究、判断能力；3、有较强的文字功底，熟悉各种文体格式</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招聘数量：2</w:t>
            </w:r>
            <w:r>
              <w:rPr>
                <w:rFonts w:hint="eastAsia" w:asciiTheme="minorEastAsia" w:hAnsiTheme="minorEastAsia" w:eastAsiaTheme="minorEastAsia" w:cstheme="minorEastAsia"/>
                <w:sz w:val="18"/>
                <w:szCs w:val="18"/>
              </w:rPr>
              <w:t>名</w:t>
            </w:r>
          </w:p>
        </w:tc>
        <w:tc>
          <w:tcPr>
            <w:tcW w:w="851" w:type="dxa"/>
            <w:vMerge w:val="continue"/>
            <w:tcBorders>
              <w:bottom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p>
        </w:tc>
        <w:tc>
          <w:tcPr>
            <w:tcW w:w="796" w:type="dxa"/>
            <w:vMerge w:val="continue"/>
            <w:tcBorders>
              <w:bottom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p>
        </w:tc>
        <w:tc>
          <w:tcPr>
            <w:tcW w:w="1262" w:type="dxa"/>
            <w:vMerge w:val="continue"/>
            <w:tcBorders>
              <w:bottom w:val="single" w:color="auto" w:sz="4" w:space="0"/>
            </w:tcBorders>
            <w:shd w:val="clear" w:color="auto" w:fill="DEEBF6" w:themeFill="accent1" w:themeFillTint="32"/>
            <w:vAlign w:val="center"/>
          </w:tcPr>
          <w:p>
            <w:pPr>
              <w:spacing w:line="240" w:lineRule="exact"/>
              <w:rPr>
                <w:rFonts w:asciiTheme="minorEastAsia" w:hAnsiTheme="minorEastAsia" w:eastAsiaTheme="minorEastAsia" w:cstheme="minorEastAsia"/>
                <w:sz w:val="18"/>
                <w:szCs w:val="18"/>
              </w:rPr>
            </w:pPr>
          </w:p>
        </w:tc>
        <w:tc>
          <w:tcPr>
            <w:tcW w:w="975" w:type="dxa"/>
            <w:vMerge w:val="continue"/>
            <w:tcBorders>
              <w:bottom w:val="single" w:color="auto" w:sz="4" w:space="0"/>
            </w:tcBorders>
            <w:shd w:val="clear" w:color="auto" w:fill="DEEBF6" w:themeFill="accent1" w:themeFillTint="32"/>
            <w:vAlign w:val="center"/>
          </w:tcPr>
          <w:p>
            <w:pPr>
              <w:spacing w:line="240" w:lineRule="exact"/>
              <w:rPr>
                <w:rFonts w:asciiTheme="minorEastAsia" w:hAnsiTheme="minorEastAsia" w:eastAsiaTheme="minorEastAsia" w:cstheme="minorEastAsia"/>
                <w:sz w:val="18"/>
                <w:szCs w:val="18"/>
              </w:rPr>
            </w:pPr>
          </w:p>
        </w:tc>
        <w:tc>
          <w:tcPr>
            <w:tcW w:w="779" w:type="dxa"/>
            <w:vMerge w:val="continue"/>
            <w:tcBorders>
              <w:bottom w:val="single" w:color="auto" w:sz="4" w:space="0"/>
              <w:right w:val="single" w:color="auto" w:sz="4" w:space="0"/>
            </w:tcBorders>
            <w:shd w:val="clear" w:color="auto" w:fill="DEEBF6" w:themeFill="accent1" w:themeFillTint="32"/>
            <w:vAlign w:val="center"/>
          </w:tcPr>
          <w:p>
            <w:pPr>
              <w:spacing w:line="240" w:lineRule="exact"/>
              <w:rPr>
                <w:rFonts w:hint="eastAsia" w:ascii="方正兰亭黑_GBK" w:hAnsi="方正兰亭黑_GBK" w:eastAsia="方正兰亭黑_GBK" w:cs="方正兰亭黑_GBK"/>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026" w:hRule="atLeast"/>
        </w:trPr>
        <w:tc>
          <w:tcPr>
            <w:tcW w:w="1248" w:type="dxa"/>
            <w:vMerge w:val="restart"/>
            <w:tcBorders>
              <w:top w:val="single" w:color="auto" w:sz="4" w:space="0"/>
              <w:left w:val="single" w:color="auto" w:sz="4" w:space="0"/>
              <w:right w:val="single" w:color="auto" w:sz="4" w:space="0"/>
            </w:tcBorders>
            <w:shd w:val="clear" w:color="auto" w:fill="9CC2E5" w:themeFill="accent1" w:themeFillTint="99"/>
            <w:vAlign w:val="center"/>
          </w:tcPr>
          <w:p>
            <w:pPr>
              <w:spacing w:line="240" w:lineRule="exact"/>
              <w:jc w:val="center"/>
              <w:rPr>
                <w:rFonts w:ascii="方正兰亭黑_GBK" w:hAnsi="方正兰亭黑_GBK" w:eastAsia="方正兰亭黑_GBK" w:cs="方正兰亭黑_GBK"/>
                <w:color w:val="000000"/>
                <w:sz w:val="18"/>
                <w:szCs w:val="18"/>
              </w:rPr>
            </w:pPr>
            <w:r>
              <w:rPr>
                <w:rFonts w:ascii="方正兰亭黑_GBK" w:hAnsi="方正兰亭黑_GBK" w:eastAsia="方正兰亭黑_GBK" w:cs="方正兰亭黑_GBK"/>
                <w:color w:val="000000"/>
                <w:sz w:val="18"/>
                <w:szCs w:val="18"/>
              </w:rPr>
              <w:t>多式联运</w:t>
            </w:r>
          </w:p>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w:t>
            </w:r>
            <w:r>
              <w:rPr>
                <w:rFonts w:ascii="方正兰亭黑_GBK" w:hAnsi="方正兰亭黑_GBK" w:eastAsia="方正兰亭黑_GBK" w:cs="方正兰亭黑_GBK"/>
                <w:color w:val="000000"/>
                <w:sz w:val="18"/>
                <w:szCs w:val="18"/>
              </w:rPr>
              <w:t>一单制</w:t>
            </w:r>
            <w:r>
              <w:rPr>
                <w:rFonts w:hint="eastAsia" w:ascii="方正兰亭黑_GBK" w:hAnsi="方正兰亭黑_GBK" w:eastAsia="方正兰亭黑_GBK" w:cs="方正兰亭黑_GBK"/>
                <w:color w:val="000000"/>
                <w:sz w:val="18"/>
                <w:szCs w:val="18"/>
              </w:rPr>
              <w:t>”</w:t>
            </w:r>
          </w:p>
          <w:p>
            <w:pPr>
              <w:spacing w:line="240" w:lineRule="exact"/>
              <w:jc w:val="center"/>
              <w:rPr>
                <w:rFonts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5"/>
                <w:szCs w:val="15"/>
              </w:rPr>
              <w:t>（成都青白江）</w:t>
            </w:r>
          </w:p>
        </w:tc>
        <w:tc>
          <w:tcPr>
            <w:tcW w:w="2178" w:type="dxa"/>
            <w:vMerge w:val="restart"/>
            <w:tcBorders>
              <w:top w:val="single" w:color="auto" w:sz="4" w:space="0"/>
              <w:left w:val="single" w:color="auto" w:sz="4" w:space="0"/>
              <w:right w:val="single" w:color="auto" w:sz="4" w:space="0"/>
            </w:tcBorders>
            <w:shd w:val="clear" w:color="auto" w:fill="BDD6EE" w:themeFill="accent1" w:themeFillTint="66"/>
            <w:vAlign w:val="center"/>
          </w:tcPr>
          <w:p>
            <w:pPr>
              <w:spacing w:line="240" w:lineRule="exact"/>
              <w:jc w:val="both"/>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多式联运“一单制”场景基于“一次委托、一口报价、一单到底、一票结算”的多式联运单证创新模式，通过搭建物联网信息平台，整合境内外物流服务供应商及相关物流、贸易数据，引入物流领域专业人才，形成成都“一单制”规则，推进跨境多式联运及中欧班列的信息化进程，打造1-10亿的港口金融服务生态圈；通过平台探索无纸化的交付流程，提高境内外单证传递效率；为跨境贸易提供门到门可追溯物流服务；实现“一单制”人民币结算，推进人民币国际化进程</w:t>
            </w:r>
          </w:p>
        </w:tc>
        <w:tc>
          <w:tcPr>
            <w:tcW w:w="645" w:type="dxa"/>
            <w:vMerge w:val="restart"/>
            <w:tcBorders>
              <w:top w:val="single" w:color="auto" w:sz="4" w:space="0"/>
              <w:left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方正兰亭黑_GBK" w:hAnsi="方正兰亭黑_GBK" w:eastAsia="方正兰亭黑_GBK" w:cs="方正兰亭黑_GBK"/>
                <w:color w:val="000000"/>
                <w:sz w:val="18"/>
                <w:szCs w:val="18"/>
              </w:rPr>
              <w:t>人才需求</w:t>
            </w:r>
          </w:p>
        </w:tc>
        <w:tc>
          <w:tcPr>
            <w:tcW w:w="990" w:type="dxa"/>
            <w:tcBorders>
              <w:top w:val="single" w:color="auto" w:sz="4" w:space="0"/>
              <w:bottom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价格与</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成本管理</w:t>
            </w:r>
          </w:p>
        </w:tc>
        <w:tc>
          <w:tcPr>
            <w:tcW w:w="4578" w:type="dxa"/>
            <w:tcBorders>
              <w:top w:val="single" w:color="auto" w:sz="4" w:space="0"/>
              <w:bottom w:val="single" w:color="auto" w:sz="4" w:space="0"/>
            </w:tcBorders>
            <w:shd w:val="clear" w:color="auto" w:fill="DEEBF6" w:themeFill="accent1" w:themeFillTint="32"/>
            <w:vAlign w:val="center"/>
          </w:tcPr>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pacing w:val="-6"/>
                <w:sz w:val="18"/>
                <w:szCs w:val="18"/>
              </w:rPr>
            </w:pPr>
            <w:r>
              <w:rPr>
                <w:rFonts w:asciiTheme="minorEastAsia" w:hAnsiTheme="minorEastAsia" w:eastAsiaTheme="minorEastAsia" w:cstheme="minorEastAsia"/>
                <w:sz w:val="18"/>
                <w:szCs w:val="18"/>
              </w:rPr>
              <w:t>专业要求：</w:t>
            </w:r>
            <w:r>
              <w:rPr>
                <w:rFonts w:asciiTheme="minorEastAsia" w:hAnsiTheme="minorEastAsia" w:eastAsiaTheme="minorEastAsia" w:cstheme="minorEastAsia"/>
                <w:spacing w:val="-6"/>
                <w:sz w:val="18"/>
                <w:szCs w:val="18"/>
              </w:rPr>
              <w:t>金融、经济、数学、统计（管理）等相关专业</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资历要求：硕士及以上学历，三年及以上数据分析相关工作经历</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能力要求：1、根据业务需求，独立完成对业务数据的搜集、清洗并建立合适有效的数据模型进行分析；2、有较强的财务分析、逻辑分析能力，能够独立完成相关分析报告；3、具有良好的沟通协调能力，较强的责任心和团队合作精神；4、具有较强的保密意识，不故意、随意泄露公司重要信息</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招聘数量：2</w:t>
            </w:r>
            <w:r>
              <w:rPr>
                <w:rFonts w:hint="eastAsia" w:asciiTheme="minorEastAsia" w:hAnsiTheme="minorEastAsia" w:eastAsiaTheme="minorEastAsia" w:cstheme="minorEastAsia"/>
                <w:sz w:val="18"/>
                <w:szCs w:val="18"/>
              </w:rPr>
              <w:t>名</w:t>
            </w:r>
          </w:p>
        </w:tc>
        <w:tc>
          <w:tcPr>
            <w:tcW w:w="851" w:type="dxa"/>
            <w:vMerge w:val="restart"/>
            <w:tcBorders>
              <w:top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成都</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国际</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铁路港投资</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发展</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有限</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公司</w:t>
            </w:r>
          </w:p>
        </w:tc>
        <w:tc>
          <w:tcPr>
            <w:tcW w:w="796" w:type="dxa"/>
            <w:vMerge w:val="restart"/>
            <w:tcBorders>
              <w:top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龚庆</w:t>
            </w:r>
          </w:p>
        </w:tc>
        <w:tc>
          <w:tcPr>
            <w:tcW w:w="1262" w:type="dxa"/>
            <w:vMerge w:val="restart"/>
            <w:tcBorders>
              <w:top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pacing w:val="-6"/>
                <w:sz w:val="18"/>
                <w:szCs w:val="18"/>
              </w:rPr>
              <w:t>028-8</w:t>
            </w:r>
            <w:r>
              <w:rPr>
                <w:rFonts w:asciiTheme="minorEastAsia" w:hAnsiTheme="minorEastAsia" w:eastAsiaTheme="minorEastAsia" w:cstheme="minorEastAsia"/>
                <w:spacing w:val="-6"/>
                <w:sz w:val="18"/>
                <w:szCs w:val="18"/>
              </w:rPr>
              <w:t>9339097</w:t>
            </w:r>
          </w:p>
        </w:tc>
        <w:tc>
          <w:tcPr>
            <w:tcW w:w="975" w:type="dxa"/>
            <w:vMerge w:val="restart"/>
            <w:tcBorders>
              <w:top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2019.</w:t>
            </w:r>
            <w:r>
              <w:rPr>
                <w:rFonts w:hint="eastAsia" w:asciiTheme="minorEastAsia" w:hAnsiTheme="minorEastAsia" w:eastAsiaTheme="minorEastAsia" w:cstheme="minorEastAsia"/>
                <w:sz w:val="18"/>
                <w:szCs w:val="18"/>
              </w:rPr>
              <w:t>10</w:t>
            </w:r>
            <w:r>
              <w:rPr>
                <w:rFonts w:asciiTheme="minorEastAsia" w:hAnsiTheme="minorEastAsia" w:eastAsiaTheme="minorEastAsia" w:cstheme="minorEastAsia"/>
                <w:sz w:val="18"/>
                <w:szCs w:val="18"/>
              </w:rPr>
              <w:t>-1</w:t>
            </w:r>
            <w:r>
              <w:rPr>
                <w:rFonts w:hint="eastAsia" w:asciiTheme="minorEastAsia" w:hAnsiTheme="minorEastAsia" w:eastAsiaTheme="minorEastAsia" w:cstheme="minorEastAsia"/>
                <w:sz w:val="18"/>
                <w:szCs w:val="18"/>
              </w:rPr>
              <w:t>2</w:t>
            </w:r>
          </w:p>
        </w:tc>
        <w:tc>
          <w:tcPr>
            <w:tcW w:w="779" w:type="dxa"/>
            <w:vMerge w:val="restart"/>
            <w:tcBorders>
              <w:top w:val="single" w:color="auto" w:sz="4" w:space="0"/>
              <w:right w:val="single" w:color="auto" w:sz="4" w:space="0"/>
            </w:tcBorders>
            <w:shd w:val="clear" w:color="auto" w:fill="DEEBF6" w:themeFill="accent1" w:themeFillTint="32"/>
            <w:vAlign w:val="center"/>
          </w:tcPr>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临港</w:t>
            </w:r>
          </w:p>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服务业功能区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007" w:hRule="atLeast"/>
        </w:trPr>
        <w:tc>
          <w:tcPr>
            <w:tcW w:w="1248" w:type="dxa"/>
            <w:vMerge w:val="continue"/>
            <w:tcBorders>
              <w:left w:val="single" w:color="auto" w:sz="4" w:space="0"/>
              <w:right w:val="single" w:color="auto" w:sz="4" w:space="0"/>
            </w:tcBorders>
            <w:shd w:val="clear" w:color="auto" w:fill="9CC2E5" w:themeFill="accent1" w:themeFillTint="99"/>
            <w:vAlign w:val="center"/>
          </w:tcPr>
          <w:p>
            <w:pPr>
              <w:spacing w:line="240" w:lineRule="exact"/>
              <w:jc w:val="center"/>
              <w:rPr>
                <w:rFonts w:asciiTheme="minorEastAsia" w:hAnsiTheme="minorEastAsia" w:eastAsiaTheme="minorEastAsia" w:cstheme="minorEastAsia"/>
                <w:sz w:val="18"/>
                <w:szCs w:val="18"/>
              </w:rPr>
            </w:pPr>
          </w:p>
        </w:tc>
        <w:tc>
          <w:tcPr>
            <w:tcW w:w="2178" w:type="dxa"/>
            <w:vMerge w:val="continue"/>
            <w:tcBorders>
              <w:left w:val="single" w:color="auto" w:sz="4" w:space="0"/>
              <w:right w:val="single" w:color="auto" w:sz="4" w:space="0"/>
            </w:tcBorders>
            <w:shd w:val="clear" w:color="auto" w:fill="BDD6EE" w:themeFill="accent1" w:themeFillTint="66"/>
            <w:vAlign w:val="center"/>
          </w:tcPr>
          <w:p>
            <w:pPr>
              <w:spacing w:line="240" w:lineRule="exact"/>
              <w:jc w:val="both"/>
              <w:rPr>
                <w:rFonts w:asciiTheme="minorEastAsia" w:hAnsiTheme="minorEastAsia" w:eastAsiaTheme="minorEastAsia" w:cstheme="minorEastAsia"/>
                <w:sz w:val="18"/>
                <w:szCs w:val="18"/>
              </w:rPr>
            </w:pPr>
          </w:p>
        </w:tc>
        <w:tc>
          <w:tcPr>
            <w:tcW w:w="645" w:type="dxa"/>
            <w:vMerge w:val="continue"/>
            <w:tcBorders>
              <w:left w:val="single" w:color="auto" w:sz="4" w:space="0"/>
            </w:tcBorders>
            <w:shd w:val="clear" w:color="auto" w:fill="DEEBF6" w:themeFill="accent1" w:themeFillTint="32"/>
            <w:vAlign w:val="center"/>
          </w:tcPr>
          <w:p>
            <w:pPr>
              <w:spacing w:line="240" w:lineRule="exact"/>
              <w:rPr>
                <w:rFonts w:asciiTheme="minorEastAsia" w:hAnsiTheme="minorEastAsia" w:eastAsiaTheme="minorEastAsia" w:cstheme="minorEastAsia"/>
                <w:sz w:val="18"/>
                <w:szCs w:val="18"/>
              </w:rPr>
            </w:pPr>
          </w:p>
        </w:tc>
        <w:tc>
          <w:tcPr>
            <w:tcW w:w="990" w:type="dxa"/>
            <w:tcBorders>
              <w:top w:val="single" w:color="auto" w:sz="4" w:space="0"/>
              <w:bottom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网络信息安全管理</w:t>
            </w:r>
          </w:p>
        </w:tc>
        <w:tc>
          <w:tcPr>
            <w:tcW w:w="4578" w:type="dxa"/>
            <w:tcBorders>
              <w:top w:val="single" w:color="auto" w:sz="4" w:space="0"/>
              <w:bottom w:val="single" w:color="auto" w:sz="4" w:space="0"/>
            </w:tcBorders>
            <w:shd w:val="clear" w:color="auto" w:fill="DEEBF6" w:themeFill="accent1" w:themeFillTint="32"/>
            <w:vAlign w:val="center"/>
          </w:tcPr>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专业要求：计算机、网络安全等相关专业</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资历要求：硕士及以上学历，三年及以上大中型企业相关职位工作经验</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能力要求：1、精通主流网络安全配置和使用；2、熟悉常见网络安全漏斗；3、有相关网络安全认证优先考虑；4、严守信息安全职业道德</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招聘数量：1</w:t>
            </w:r>
            <w:r>
              <w:rPr>
                <w:rFonts w:hint="eastAsia" w:asciiTheme="minorEastAsia" w:hAnsiTheme="minorEastAsia" w:eastAsiaTheme="minorEastAsia" w:cstheme="minorEastAsia"/>
                <w:sz w:val="18"/>
                <w:szCs w:val="18"/>
              </w:rPr>
              <w:t>名</w:t>
            </w:r>
          </w:p>
        </w:tc>
        <w:tc>
          <w:tcPr>
            <w:tcW w:w="851" w:type="dxa"/>
            <w:vMerge w:val="continue"/>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p>
        </w:tc>
        <w:tc>
          <w:tcPr>
            <w:tcW w:w="796" w:type="dxa"/>
            <w:vMerge w:val="continue"/>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p>
        </w:tc>
        <w:tc>
          <w:tcPr>
            <w:tcW w:w="1262" w:type="dxa"/>
            <w:vMerge w:val="continue"/>
            <w:shd w:val="clear" w:color="auto" w:fill="DEEBF6" w:themeFill="accent1" w:themeFillTint="32"/>
            <w:vAlign w:val="center"/>
          </w:tcPr>
          <w:p>
            <w:pPr>
              <w:spacing w:line="240" w:lineRule="exact"/>
              <w:rPr>
                <w:rFonts w:asciiTheme="minorEastAsia" w:hAnsiTheme="minorEastAsia" w:eastAsiaTheme="minorEastAsia" w:cstheme="minorEastAsia"/>
                <w:sz w:val="18"/>
                <w:szCs w:val="18"/>
              </w:rPr>
            </w:pPr>
          </w:p>
        </w:tc>
        <w:tc>
          <w:tcPr>
            <w:tcW w:w="975" w:type="dxa"/>
            <w:vMerge w:val="continue"/>
            <w:shd w:val="clear" w:color="auto" w:fill="DEEBF6" w:themeFill="accent1" w:themeFillTint="32"/>
            <w:vAlign w:val="center"/>
          </w:tcPr>
          <w:p>
            <w:pPr>
              <w:spacing w:line="240" w:lineRule="exact"/>
              <w:rPr>
                <w:rFonts w:asciiTheme="minorEastAsia" w:hAnsiTheme="minorEastAsia" w:eastAsiaTheme="minorEastAsia" w:cstheme="minorEastAsia"/>
                <w:sz w:val="18"/>
                <w:szCs w:val="18"/>
              </w:rPr>
            </w:pPr>
          </w:p>
        </w:tc>
        <w:tc>
          <w:tcPr>
            <w:tcW w:w="779" w:type="dxa"/>
            <w:vMerge w:val="continue"/>
            <w:tcBorders>
              <w:right w:val="single" w:color="auto" w:sz="4" w:space="0"/>
            </w:tcBorders>
            <w:shd w:val="clear" w:color="auto" w:fill="DEEBF6" w:themeFill="accent1" w:themeFillTint="32"/>
            <w:vAlign w:val="center"/>
          </w:tcPr>
          <w:p>
            <w:pPr>
              <w:spacing w:line="240" w:lineRule="exact"/>
              <w:jc w:val="center"/>
              <w:rPr>
                <w:rFonts w:hint="eastAsia" w:ascii="方正兰亭黑_GBK" w:hAnsi="方正兰亭黑_GBK" w:eastAsia="方正兰亭黑_GBK" w:cs="方正兰亭黑_GBK"/>
                <w:color w:val="00000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835" w:hRule="atLeast"/>
        </w:trPr>
        <w:tc>
          <w:tcPr>
            <w:tcW w:w="1248" w:type="dxa"/>
            <w:vMerge w:val="continue"/>
            <w:tcBorders>
              <w:left w:val="single" w:color="auto" w:sz="4" w:space="0"/>
              <w:bottom w:val="single" w:color="auto" w:sz="4" w:space="0"/>
              <w:right w:val="single" w:color="auto" w:sz="4" w:space="0"/>
            </w:tcBorders>
            <w:shd w:val="clear" w:color="auto" w:fill="9CC2E5" w:themeFill="accent1" w:themeFillTint="99"/>
            <w:vAlign w:val="center"/>
          </w:tcPr>
          <w:p>
            <w:pPr>
              <w:spacing w:line="240" w:lineRule="exact"/>
              <w:jc w:val="center"/>
              <w:rPr>
                <w:rFonts w:asciiTheme="minorEastAsia" w:hAnsiTheme="minorEastAsia" w:eastAsiaTheme="minorEastAsia" w:cstheme="minorEastAsia"/>
                <w:sz w:val="18"/>
                <w:szCs w:val="18"/>
              </w:rPr>
            </w:pPr>
          </w:p>
        </w:tc>
        <w:tc>
          <w:tcPr>
            <w:tcW w:w="2178" w:type="dxa"/>
            <w:vMerge w:val="continue"/>
            <w:tcBorders>
              <w:left w:val="single" w:color="auto" w:sz="4" w:space="0"/>
              <w:bottom w:val="single" w:color="auto" w:sz="4" w:space="0"/>
              <w:right w:val="single" w:color="auto" w:sz="4" w:space="0"/>
            </w:tcBorders>
            <w:shd w:val="clear" w:color="auto" w:fill="BDD6EE" w:themeFill="accent1" w:themeFillTint="66"/>
            <w:vAlign w:val="center"/>
          </w:tcPr>
          <w:p>
            <w:pPr>
              <w:spacing w:line="240" w:lineRule="exact"/>
              <w:jc w:val="both"/>
              <w:rPr>
                <w:rFonts w:asciiTheme="minorEastAsia" w:hAnsiTheme="minorEastAsia" w:eastAsiaTheme="minorEastAsia" w:cstheme="minorEastAsia"/>
                <w:sz w:val="18"/>
                <w:szCs w:val="18"/>
              </w:rPr>
            </w:pPr>
          </w:p>
        </w:tc>
        <w:tc>
          <w:tcPr>
            <w:tcW w:w="645" w:type="dxa"/>
            <w:vMerge w:val="continue"/>
            <w:tcBorders>
              <w:left w:val="single" w:color="auto" w:sz="4" w:space="0"/>
              <w:bottom w:val="single" w:color="auto" w:sz="4" w:space="0"/>
            </w:tcBorders>
            <w:shd w:val="clear" w:color="auto" w:fill="DEEBF6" w:themeFill="accent1" w:themeFillTint="32"/>
            <w:vAlign w:val="center"/>
          </w:tcPr>
          <w:p>
            <w:pPr>
              <w:spacing w:line="240" w:lineRule="exact"/>
              <w:rPr>
                <w:rFonts w:asciiTheme="minorEastAsia" w:hAnsiTheme="minorEastAsia" w:eastAsiaTheme="minorEastAsia" w:cstheme="minorEastAsia"/>
                <w:sz w:val="18"/>
                <w:szCs w:val="18"/>
              </w:rPr>
            </w:pPr>
          </w:p>
        </w:tc>
        <w:tc>
          <w:tcPr>
            <w:tcW w:w="990" w:type="dxa"/>
            <w:tcBorders>
              <w:top w:val="single" w:color="auto" w:sz="4" w:space="0"/>
              <w:bottom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法务风控</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管理</w:t>
            </w:r>
          </w:p>
        </w:tc>
        <w:tc>
          <w:tcPr>
            <w:tcW w:w="4578" w:type="dxa"/>
            <w:tcBorders>
              <w:top w:val="single" w:color="auto" w:sz="4" w:space="0"/>
              <w:bottom w:val="single" w:color="auto" w:sz="4" w:space="0"/>
            </w:tcBorders>
            <w:shd w:val="clear" w:color="auto" w:fill="DEEBF6" w:themeFill="accent1" w:themeFillTint="32"/>
            <w:vAlign w:val="center"/>
          </w:tcPr>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专业要求：硕士及以上学历，法律专业</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资历要求：1、三年及以上大中型企业相关职位工作经验；2、英语六级；3、通过国家司法考试</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能力要求：1、精通公司法、合同法、知识产权、专利相关企业法律事务，对企业运营中各类法律事务有实操经验；2、较强的逻辑思维能力、较强的沟通能力、分析及应变能力和文字功底</w:t>
            </w:r>
          </w:p>
          <w:p>
            <w:pPr>
              <w:keepNext w:val="0"/>
              <w:keepLines w:val="0"/>
              <w:pageBreakBefore w:val="0"/>
              <w:widowControl/>
              <w:numPr>
                <w:ilvl w:val="0"/>
                <w:numId w:val="2"/>
              </w:numPr>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具有法律职业资格证书或律师执业证者优先</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招聘数量：1</w:t>
            </w:r>
            <w:r>
              <w:rPr>
                <w:rFonts w:hint="eastAsia" w:asciiTheme="minorEastAsia" w:hAnsiTheme="minorEastAsia" w:eastAsiaTheme="minorEastAsia" w:cstheme="minorEastAsia"/>
                <w:sz w:val="18"/>
                <w:szCs w:val="18"/>
              </w:rPr>
              <w:t>名</w:t>
            </w:r>
          </w:p>
        </w:tc>
        <w:tc>
          <w:tcPr>
            <w:tcW w:w="851" w:type="dxa"/>
            <w:vMerge w:val="continue"/>
            <w:tcBorders>
              <w:bottom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p>
        </w:tc>
        <w:tc>
          <w:tcPr>
            <w:tcW w:w="796" w:type="dxa"/>
            <w:vMerge w:val="continue"/>
            <w:tcBorders>
              <w:bottom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p>
        </w:tc>
        <w:tc>
          <w:tcPr>
            <w:tcW w:w="1262" w:type="dxa"/>
            <w:vMerge w:val="continue"/>
            <w:tcBorders>
              <w:bottom w:val="single" w:color="auto" w:sz="4" w:space="0"/>
            </w:tcBorders>
            <w:shd w:val="clear" w:color="auto" w:fill="DEEBF6" w:themeFill="accent1" w:themeFillTint="32"/>
            <w:vAlign w:val="center"/>
          </w:tcPr>
          <w:p>
            <w:pPr>
              <w:spacing w:line="240" w:lineRule="exact"/>
              <w:rPr>
                <w:rFonts w:asciiTheme="minorEastAsia" w:hAnsiTheme="minorEastAsia" w:eastAsiaTheme="minorEastAsia" w:cstheme="minorEastAsia"/>
                <w:sz w:val="18"/>
                <w:szCs w:val="18"/>
              </w:rPr>
            </w:pPr>
          </w:p>
        </w:tc>
        <w:tc>
          <w:tcPr>
            <w:tcW w:w="975" w:type="dxa"/>
            <w:vMerge w:val="continue"/>
            <w:tcBorders>
              <w:bottom w:val="single" w:color="auto" w:sz="4" w:space="0"/>
            </w:tcBorders>
            <w:shd w:val="clear" w:color="auto" w:fill="DEEBF6" w:themeFill="accent1" w:themeFillTint="32"/>
            <w:vAlign w:val="center"/>
          </w:tcPr>
          <w:p>
            <w:pPr>
              <w:spacing w:line="240" w:lineRule="exact"/>
              <w:rPr>
                <w:rFonts w:asciiTheme="minorEastAsia" w:hAnsiTheme="minorEastAsia" w:eastAsiaTheme="minorEastAsia" w:cstheme="minorEastAsia"/>
                <w:sz w:val="18"/>
                <w:szCs w:val="18"/>
              </w:rPr>
            </w:pPr>
          </w:p>
        </w:tc>
        <w:tc>
          <w:tcPr>
            <w:tcW w:w="779" w:type="dxa"/>
            <w:vMerge w:val="continue"/>
            <w:tcBorders>
              <w:bottom w:val="single" w:color="auto" w:sz="4" w:space="0"/>
              <w:right w:val="single" w:color="auto" w:sz="4" w:space="0"/>
            </w:tcBorders>
            <w:shd w:val="clear" w:color="auto" w:fill="DEEBF6" w:themeFill="accent1" w:themeFillTint="32"/>
            <w:vAlign w:val="center"/>
          </w:tcPr>
          <w:p>
            <w:pPr>
              <w:spacing w:line="240" w:lineRule="exact"/>
              <w:jc w:val="center"/>
              <w:rPr>
                <w:rFonts w:hint="eastAsia" w:ascii="方正兰亭黑_GBK" w:hAnsi="方正兰亭黑_GBK" w:eastAsia="方正兰亭黑_GBK" w:cs="方正兰亭黑_GBK"/>
                <w:color w:val="00000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600" w:hRule="atLeast"/>
        </w:trPr>
        <w:tc>
          <w:tcPr>
            <w:tcW w:w="1248" w:type="dxa"/>
            <w:vMerge w:val="restart"/>
            <w:tcBorders>
              <w:top w:val="single" w:color="auto" w:sz="4" w:space="0"/>
              <w:left w:val="single" w:color="auto" w:sz="4" w:space="0"/>
              <w:right w:val="single" w:color="auto" w:sz="4" w:space="0"/>
            </w:tcBorders>
            <w:shd w:val="clear" w:color="auto" w:fill="9CC2E5" w:themeFill="accent1" w:themeFillTint="99"/>
            <w:vAlign w:val="center"/>
          </w:tcPr>
          <w:p>
            <w:pPr>
              <w:spacing w:line="240" w:lineRule="exact"/>
              <w:jc w:val="center"/>
              <w:rPr>
                <w:rFonts w:ascii="方正兰亭黑_GBK" w:hAnsi="方正兰亭黑_GBK" w:eastAsia="方正兰亭黑_GBK" w:cs="方正兰亭黑_GBK"/>
                <w:color w:val="000000"/>
                <w:sz w:val="18"/>
                <w:szCs w:val="18"/>
              </w:rPr>
            </w:pPr>
            <w:r>
              <w:rPr>
                <w:rFonts w:ascii="方正兰亭黑_GBK" w:hAnsi="方正兰亭黑_GBK" w:eastAsia="方正兰亭黑_GBK" w:cs="方正兰亭黑_GBK"/>
                <w:color w:val="000000"/>
                <w:sz w:val="18"/>
                <w:szCs w:val="18"/>
              </w:rPr>
              <w:t>多式联运</w:t>
            </w:r>
          </w:p>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w:t>
            </w:r>
            <w:r>
              <w:rPr>
                <w:rFonts w:ascii="方正兰亭黑_GBK" w:hAnsi="方正兰亭黑_GBK" w:eastAsia="方正兰亭黑_GBK" w:cs="方正兰亭黑_GBK"/>
                <w:color w:val="000000"/>
                <w:sz w:val="18"/>
                <w:szCs w:val="18"/>
              </w:rPr>
              <w:t>一单制</w:t>
            </w:r>
            <w:r>
              <w:rPr>
                <w:rFonts w:hint="eastAsia" w:ascii="方正兰亭黑_GBK" w:hAnsi="方正兰亭黑_GBK" w:eastAsia="方正兰亭黑_GBK" w:cs="方正兰亭黑_GBK"/>
                <w:color w:val="000000"/>
                <w:sz w:val="18"/>
                <w:szCs w:val="18"/>
              </w:rPr>
              <w:t>”</w:t>
            </w:r>
          </w:p>
          <w:p>
            <w:pPr>
              <w:spacing w:line="240" w:lineRule="exact"/>
              <w:jc w:val="center"/>
              <w:rPr>
                <w:rFonts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5"/>
                <w:szCs w:val="15"/>
              </w:rPr>
              <w:t>（成都青白江）</w:t>
            </w:r>
          </w:p>
        </w:tc>
        <w:tc>
          <w:tcPr>
            <w:tcW w:w="2178" w:type="dxa"/>
            <w:vMerge w:val="restart"/>
            <w:tcBorders>
              <w:top w:val="single" w:color="auto" w:sz="4" w:space="0"/>
              <w:left w:val="single" w:color="auto" w:sz="4" w:space="0"/>
              <w:right w:val="single" w:color="auto" w:sz="4" w:space="0"/>
            </w:tcBorders>
            <w:shd w:val="clear" w:color="auto" w:fill="BDD6EE" w:themeFill="accent1" w:themeFillTint="66"/>
            <w:vAlign w:val="center"/>
          </w:tcPr>
          <w:p>
            <w:pPr>
              <w:spacing w:line="240" w:lineRule="exact"/>
              <w:jc w:val="both"/>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多式联运“一单制”场景基于“一次委托、一口报价、一单到底、一票结算”的多式联运单证创新模式，通过搭建物联网信息平台，整合境内外物流服务供应商及相关物流、贸易数据，引入物流领域专业人才，形成成都“一单制”规则，推进跨境多式联运及中欧班列的信息化进程，打造1-10亿的港口金融服务生态圈；通过平台探索无纸化的交付流程，提高境内外单证传递效率；为跨境贸易提供门到门可追溯物流服务；实现“一单制”人民币结算，推进人民币国际化进程</w:t>
            </w:r>
          </w:p>
        </w:tc>
        <w:tc>
          <w:tcPr>
            <w:tcW w:w="645" w:type="dxa"/>
            <w:vMerge w:val="restart"/>
            <w:tcBorders>
              <w:top w:val="single" w:color="auto" w:sz="4" w:space="0"/>
              <w:left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方正兰亭黑_GBK" w:hAnsi="方正兰亭黑_GBK" w:eastAsia="方正兰亭黑_GBK" w:cs="方正兰亭黑_GBK"/>
                <w:color w:val="000000"/>
                <w:sz w:val="18"/>
                <w:szCs w:val="18"/>
              </w:rPr>
              <w:t>人才需求</w:t>
            </w:r>
          </w:p>
        </w:tc>
        <w:tc>
          <w:tcPr>
            <w:tcW w:w="990" w:type="dxa"/>
            <w:tcBorders>
              <w:top w:val="single" w:color="auto" w:sz="4" w:space="0"/>
              <w:bottom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中欧班列（成都）线路管理</w:t>
            </w:r>
          </w:p>
        </w:tc>
        <w:tc>
          <w:tcPr>
            <w:tcW w:w="4578" w:type="dxa"/>
            <w:tcBorders>
              <w:top w:val="single" w:color="auto" w:sz="4" w:space="0"/>
              <w:bottom w:val="single" w:color="auto" w:sz="4" w:space="0"/>
            </w:tcBorders>
            <w:shd w:val="clear" w:color="auto" w:fill="DEEBF6" w:themeFill="accent1" w:themeFillTint="32"/>
            <w:vAlign w:val="center"/>
          </w:tcPr>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专业要求：硕士及以上学历，国际物流、供应链（管理）相关专业</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资历要求：1、三年及以上相关行业工作经验</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能力要求：1、 精通英语或俄语；2、精通office、excel等办公软件，有较强的分析能力，能承受一定工作压力；3、物流专业或境外物流行业实操经验优先</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招聘数量：4</w:t>
            </w:r>
            <w:r>
              <w:rPr>
                <w:rFonts w:hint="eastAsia" w:asciiTheme="minorEastAsia" w:hAnsiTheme="minorEastAsia" w:eastAsiaTheme="minorEastAsia" w:cstheme="minorEastAsia"/>
                <w:sz w:val="18"/>
                <w:szCs w:val="18"/>
              </w:rPr>
              <w:t>名</w:t>
            </w:r>
          </w:p>
        </w:tc>
        <w:tc>
          <w:tcPr>
            <w:tcW w:w="851" w:type="dxa"/>
            <w:vMerge w:val="restart"/>
            <w:tcBorders>
              <w:top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成都</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国际</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铁路港投资</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发展</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有限</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公司</w:t>
            </w:r>
          </w:p>
        </w:tc>
        <w:tc>
          <w:tcPr>
            <w:tcW w:w="796" w:type="dxa"/>
            <w:vMerge w:val="restart"/>
            <w:tcBorders>
              <w:top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龚庆</w:t>
            </w:r>
          </w:p>
        </w:tc>
        <w:tc>
          <w:tcPr>
            <w:tcW w:w="1262" w:type="dxa"/>
            <w:vMerge w:val="restart"/>
            <w:tcBorders>
              <w:top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pacing w:val="-6"/>
                <w:sz w:val="18"/>
                <w:szCs w:val="18"/>
              </w:rPr>
              <w:t>028-8</w:t>
            </w:r>
            <w:r>
              <w:rPr>
                <w:rFonts w:asciiTheme="minorEastAsia" w:hAnsiTheme="minorEastAsia" w:eastAsiaTheme="minorEastAsia" w:cstheme="minorEastAsia"/>
                <w:spacing w:val="-6"/>
                <w:sz w:val="18"/>
                <w:szCs w:val="18"/>
              </w:rPr>
              <w:t>9339097</w:t>
            </w:r>
          </w:p>
        </w:tc>
        <w:tc>
          <w:tcPr>
            <w:tcW w:w="975" w:type="dxa"/>
            <w:vMerge w:val="restart"/>
            <w:tcBorders>
              <w:top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2019.</w:t>
            </w:r>
            <w:r>
              <w:rPr>
                <w:rFonts w:hint="eastAsia" w:asciiTheme="minorEastAsia" w:hAnsiTheme="minorEastAsia" w:eastAsiaTheme="minorEastAsia" w:cstheme="minorEastAsia"/>
                <w:sz w:val="18"/>
                <w:szCs w:val="18"/>
              </w:rPr>
              <w:t>10</w:t>
            </w:r>
            <w:r>
              <w:rPr>
                <w:rFonts w:asciiTheme="minorEastAsia" w:hAnsiTheme="minorEastAsia" w:eastAsiaTheme="minorEastAsia" w:cstheme="minorEastAsia"/>
                <w:sz w:val="18"/>
                <w:szCs w:val="18"/>
              </w:rPr>
              <w:t>-1</w:t>
            </w:r>
            <w:r>
              <w:rPr>
                <w:rFonts w:hint="eastAsia" w:asciiTheme="minorEastAsia" w:hAnsiTheme="minorEastAsia" w:eastAsiaTheme="minorEastAsia" w:cstheme="minorEastAsia"/>
                <w:sz w:val="18"/>
                <w:szCs w:val="18"/>
              </w:rPr>
              <w:t>2</w:t>
            </w:r>
          </w:p>
        </w:tc>
        <w:tc>
          <w:tcPr>
            <w:tcW w:w="779" w:type="dxa"/>
            <w:vMerge w:val="restart"/>
            <w:tcBorders>
              <w:top w:val="single" w:color="auto" w:sz="4" w:space="0"/>
              <w:right w:val="single" w:color="auto" w:sz="4" w:space="0"/>
            </w:tcBorders>
            <w:shd w:val="clear" w:color="auto" w:fill="DEEBF6" w:themeFill="accent1" w:themeFillTint="32"/>
            <w:vAlign w:val="center"/>
          </w:tcPr>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临港</w:t>
            </w:r>
          </w:p>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服务业功能区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711" w:hRule="atLeast"/>
        </w:trPr>
        <w:tc>
          <w:tcPr>
            <w:tcW w:w="1248" w:type="dxa"/>
            <w:vMerge w:val="continue"/>
            <w:tcBorders>
              <w:left w:val="single" w:color="auto" w:sz="4" w:space="0"/>
              <w:right w:val="single" w:color="auto" w:sz="4" w:space="0"/>
            </w:tcBorders>
            <w:shd w:val="clear" w:color="auto" w:fill="9CC2E5" w:themeFill="accent1" w:themeFillTint="99"/>
            <w:vAlign w:val="center"/>
          </w:tcPr>
          <w:p>
            <w:pPr>
              <w:spacing w:line="240" w:lineRule="exact"/>
              <w:jc w:val="center"/>
              <w:rPr>
                <w:rFonts w:asciiTheme="minorEastAsia" w:hAnsiTheme="minorEastAsia" w:eastAsiaTheme="minorEastAsia" w:cstheme="minorEastAsia"/>
                <w:sz w:val="18"/>
                <w:szCs w:val="18"/>
              </w:rPr>
            </w:pPr>
          </w:p>
        </w:tc>
        <w:tc>
          <w:tcPr>
            <w:tcW w:w="2178" w:type="dxa"/>
            <w:vMerge w:val="continue"/>
            <w:tcBorders>
              <w:left w:val="single" w:color="auto" w:sz="4" w:space="0"/>
              <w:right w:val="single" w:color="auto" w:sz="4" w:space="0"/>
            </w:tcBorders>
            <w:shd w:val="clear" w:color="auto" w:fill="BDD6EE" w:themeFill="accent1" w:themeFillTint="66"/>
            <w:vAlign w:val="center"/>
          </w:tcPr>
          <w:p>
            <w:pPr>
              <w:spacing w:line="240" w:lineRule="exact"/>
              <w:jc w:val="both"/>
              <w:rPr>
                <w:rFonts w:asciiTheme="minorEastAsia" w:hAnsiTheme="minorEastAsia" w:eastAsiaTheme="minorEastAsia" w:cstheme="minorEastAsia"/>
                <w:sz w:val="18"/>
                <w:szCs w:val="18"/>
              </w:rPr>
            </w:pPr>
          </w:p>
        </w:tc>
        <w:tc>
          <w:tcPr>
            <w:tcW w:w="645" w:type="dxa"/>
            <w:vMerge w:val="continue"/>
            <w:tcBorders>
              <w:left w:val="single" w:color="auto" w:sz="4" w:space="0"/>
            </w:tcBorders>
            <w:shd w:val="clear" w:color="auto" w:fill="DEEBF6" w:themeFill="accent1" w:themeFillTint="32"/>
            <w:vAlign w:val="center"/>
          </w:tcPr>
          <w:p>
            <w:pPr>
              <w:spacing w:line="240" w:lineRule="exact"/>
              <w:rPr>
                <w:rFonts w:asciiTheme="minorEastAsia" w:hAnsiTheme="minorEastAsia" w:eastAsiaTheme="minorEastAsia" w:cstheme="minorEastAsia"/>
                <w:sz w:val="18"/>
                <w:szCs w:val="18"/>
              </w:rPr>
            </w:pPr>
          </w:p>
        </w:tc>
        <w:tc>
          <w:tcPr>
            <w:tcW w:w="990" w:type="dxa"/>
            <w:tcBorders>
              <w:top w:val="single" w:color="auto" w:sz="4" w:space="0"/>
              <w:bottom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马拉运控中心</w:t>
            </w:r>
          </w:p>
          <w:p>
            <w:pPr>
              <w:spacing w:line="240" w:lineRule="exact"/>
              <w:jc w:val="both"/>
              <w:rPr>
                <w:rFonts w:asciiTheme="minorEastAsia" w:hAnsiTheme="minorEastAsia" w:eastAsiaTheme="minorEastAsia" w:cstheme="minorEastAsia"/>
                <w:sz w:val="18"/>
                <w:szCs w:val="18"/>
              </w:rPr>
            </w:pPr>
            <w:r>
              <w:rPr>
                <w:rFonts w:asciiTheme="minorEastAsia" w:hAnsiTheme="minorEastAsia" w:eastAsiaTheme="minorEastAsia" w:cstheme="minorEastAsia"/>
                <w:sz w:val="16"/>
                <w:szCs w:val="16"/>
              </w:rPr>
              <w:t>（联络处）</w:t>
            </w:r>
          </w:p>
        </w:tc>
        <w:tc>
          <w:tcPr>
            <w:tcW w:w="4578" w:type="dxa"/>
            <w:tcBorders>
              <w:top w:val="single" w:color="auto" w:sz="4" w:space="0"/>
              <w:bottom w:val="single" w:color="auto" w:sz="4" w:space="0"/>
            </w:tcBorders>
            <w:shd w:val="clear" w:color="auto" w:fill="DEEBF6" w:themeFill="accent1" w:themeFillTint="32"/>
            <w:vAlign w:val="center"/>
          </w:tcPr>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专业要求：硕士及以上学历，国际物流、供应链（管理）相关专业</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资历要求：1、三年及以上相关行业工作经验</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能力要求：1、 精通英语或俄语；2、精通office、excel等办公软件，有较强的分析能力，能承受一定工作压力；3、物流专业或境外物流行业实操经验优先</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招聘数量：1</w:t>
            </w:r>
            <w:r>
              <w:rPr>
                <w:rFonts w:hint="eastAsia" w:asciiTheme="minorEastAsia" w:hAnsiTheme="minorEastAsia" w:eastAsiaTheme="minorEastAsia" w:cstheme="minorEastAsia"/>
                <w:sz w:val="18"/>
                <w:szCs w:val="18"/>
              </w:rPr>
              <w:t>名</w:t>
            </w:r>
          </w:p>
        </w:tc>
        <w:tc>
          <w:tcPr>
            <w:tcW w:w="851" w:type="dxa"/>
            <w:vMerge w:val="continue"/>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p>
        </w:tc>
        <w:tc>
          <w:tcPr>
            <w:tcW w:w="796" w:type="dxa"/>
            <w:vMerge w:val="continue"/>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p>
        </w:tc>
        <w:tc>
          <w:tcPr>
            <w:tcW w:w="1262" w:type="dxa"/>
            <w:vMerge w:val="continue"/>
            <w:shd w:val="clear" w:color="auto" w:fill="DEEBF6" w:themeFill="accent1" w:themeFillTint="32"/>
            <w:vAlign w:val="center"/>
          </w:tcPr>
          <w:p>
            <w:pPr>
              <w:spacing w:line="240" w:lineRule="exact"/>
              <w:rPr>
                <w:rFonts w:asciiTheme="minorEastAsia" w:hAnsiTheme="minorEastAsia" w:eastAsiaTheme="minorEastAsia" w:cstheme="minorEastAsia"/>
                <w:sz w:val="18"/>
                <w:szCs w:val="18"/>
              </w:rPr>
            </w:pPr>
          </w:p>
        </w:tc>
        <w:tc>
          <w:tcPr>
            <w:tcW w:w="975" w:type="dxa"/>
            <w:vMerge w:val="continue"/>
            <w:shd w:val="clear" w:color="auto" w:fill="DEEBF6" w:themeFill="accent1" w:themeFillTint="32"/>
            <w:vAlign w:val="center"/>
          </w:tcPr>
          <w:p>
            <w:pPr>
              <w:spacing w:line="240" w:lineRule="exact"/>
              <w:rPr>
                <w:rFonts w:asciiTheme="minorEastAsia" w:hAnsiTheme="minorEastAsia" w:eastAsiaTheme="minorEastAsia" w:cstheme="minorEastAsia"/>
                <w:sz w:val="18"/>
                <w:szCs w:val="18"/>
              </w:rPr>
            </w:pPr>
          </w:p>
        </w:tc>
        <w:tc>
          <w:tcPr>
            <w:tcW w:w="779" w:type="dxa"/>
            <w:vMerge w:val="continue"/>
            <w:tcBorders>
              <w:right w:val="single" w:color="auto" w:sz="4" w:space="0"/>
            </w:tcBorders>
            <w:shd w:val="clear" w:color="auto" w:fill="DEEBF6" w:themeFill="accent1" w:themeFillTint="32"/>
            <w:vAlign w:val="center"/>
          </w:tcPr>
          <w:p>
            <w:pPr>
              <w:spacing w:line="240" w:lineRule="exact"/>
              <w:jc w:val="center"/>
              <w:rPr>
                <w:rFonts w:hint="eastAsia" w:ascii="方正兰亭黑_GBK" w:hAnsi="方正兰亭黑_GBK" w:eastAsia="方正兰亭黑_GBK" w:cs="方正兰亭黑_GBK"/>
                <w:color w:val="00000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567" w:hRule="atLeast"/>
        </w:trPr>
        <w:tc>
          <w:tcPr>
            <w:tcW w:w="1248" w:type="dxa"/>
            <w:vMerge w:val="continue"/>
            <w:tcBorders>
              <w:left w:val="single" w:color="auto" w:sz="4" w:space="0"/>
              <w:bottom w:val="single" w:color="auto" w:sz="4" w:space="0"/>
              <w:right w:val="single" w:color="auto" w:sz="4" w:space="0"/>
            </w:tcBorders>
            <w:shd w:val="clear" w:color="auto" w:fill="9CC2E5" w:themeFill="accent1" w:themeFillTint="99"/>
            <w:vAlign w:val="center"/>
          </w:tcPr>
          <w:p>
            <w:pPr>
              <w:spacing w:line="240" w:lineRule="exact"/>
              <w:jc w:val="center"/>
              <w:rPr>
                <w:rFonts w:asciiTheme="minorEastAsia" w:hAnsiTheme="minorEastAsia" w:eastAsiaTheme="minorEastAsia" w:cstheme="minorEastAsia"/>
                <w:sz w:val="18"/>
                <w:szCs w:val="18"/>
              </w:rPr>
            </w:pPr>
          </w:p>
        </w:tc>
        <w:tc>
          <w:tcPr>
            <w:tcW w:w="2178" w:type="dxa"/>
            <w:vMerge w:val="continue"/>
            <w:tcBorders>
              <w:left w:val="single" w:color="auto" w:sz="4" w:space="0"/>
              <w:bottom w:val="single" w:color="auto" w:sz="4" w:space="0"/>
              <w:right w:val="single" w:color="auto" w:sz="4" w:space="0"/>
            </w:tcBorders>
            <w:shd w:val="clear" w:color="auto" w:fill="BDD6EE" w:themeFill="accent1" w:themeFillTint="66"/>
            <w:vAlign w:val="center"/>
          </w:tcPr>
          <w:p>
            <w:pPr>
              <w:spacing w:line="240" w:lineRule="exact"/>
              <w:jc w:val="both"/>
              <w:rPr>
                <w:rFonts w:asciiTheme="minorEastAsia" w:hAnsiTheme="minorEastAsia" w:eastAsiaTheme="minorEastAsia" w:cstheme="minorEastAsia"/>
                <w:sz w:val="18"/>
                <w:szCs w:val="18"/>
              </w:rPr>
            </w:pPr>
          </w:p>
        </w:tc>
        <w:tc>
          <w:tcPr>
            <w:tcW w:w="645" w:type="dxa"/>
            <w:vMerge w:val="continue"/>
            <w:tcBorders>
              <w:left w:val="single" w:color="auto" w:sz="4" w:space="0"/>
              <w:bottom w:val="single" w:color="auto" w:sz="4" w:space="0"/>
            </w:tcBorders>
            <w:shd w:val="clear" w:color="auto" w:fill="DEEBF6" w:themeFill="accent1" w:themeFillTint="32"/>
            <w:vAlign w:val="center"/>
          </w:tcPr>
          <w:p>
            <w:pPr>
              <w:spacing w:line="240" w:lineRule="exact"/>
              <w:rPr>
                <w:rFonts w:asciiTheme="minorEastAsia" w:hAnsiTheme="minorEastAsia" w:eastAsiaTheme="minorEastAsia" w:cstheme="minorEastAsia"/>
                <w:sz w:val="18"/>
                <w:szCs w:val="18"/>
              </w:rPr>
            </w:pPr>
          </w:p>
        </w:tc>
        <w:tc>
          <w:tcPr>
            <w:tcW w:w="990" w:type="dxa"/>
            <w:tcBorders>
              <w:top w:val="single" w:color="auto" w:sz="4" w:space="0"/>
              <w:bottom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现场调度</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及口岸</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管理</w:t>
            </w:r>
          </w:p>
        </w:tc>
        <w:tc>
          <w:tcPr>
            <w:tcW w:w="4578" w:type="dxa"/>
            <w:tcBorders>
              <w:top w:val="single" w:color="auto" w:sz="4" w:space="0"/>
              <w:bottom w:val="single" w:color="auto" w:sz="4" w:space="0"/>
            </w:tcBorders>
            <w:shd w:val="clear" w:color="auto" w:fill="DEEBF6" w:themeFill="accent1" w:themeFillTint="32"/>
            <w:vAlign w:val="center"/>
          </w:tcPr>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专业要求：本科及以上学历，国际物流、供应链（管理）相关专业</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资历要求：1、三年及以上相关行业工作经验；2、英语六级</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能力要求：1、精通office、excel等办公软件，有较强的分析能力，能承受一定工作压力；2、物流专业或行业实操经验优先</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招聘数量：2</w:t>
            </w:r>
            <w:r>
              <w:rPr>
                <w:rFonts w:hint="eastAsia" w:asciiTheme="minorEastAsia" w:hAnsiTheme="minorEastAsia" w:eastAsiaTheme="minorEastAsia" w:cstheme="minorEastAsia"/>
                <w:sz w:val="18"/>
                <w:szCs w:val="18"/>
              </w:rPr>
              <w:t>名</w:t>
            </w:r>
          </w:p>
        </w:tc>
        <w:tc>
          <w:tcPr>
            <w:tcW w:w="851" w:type="dxa"/>
            <w:vMerge w:val="continue"/>
            <w:tcBorders>
              <w:bottom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p>
        </w:tc>
        <w:tc>
          <w:tcPr>
            <w:tcW w:w="796" w:type="dxa"/>
            <w:vMerge w:val="continue"/>
            <w:tcBorders>
              <w:bottom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p>
        </w:tc>
        <w:tc>
          <w:tcPr>
            <w:tcW w:w="1262" w:type="dxa"/>
            <w:vMerge w:val="continue"/>
            <w:tcBorders>
              <w:bottom w:val="single" w:color="auto" w:sz="4" w:space="0"/>
            </w:tcBorders>
            <w:shd w:val="clear" w:color="auto" w:fill="DEEBF6" w:themeFill="accent1" w:themeFillTint="32"/>
            <w:vAlign w:val="center"/>
          </w:tcPr>
          <w:p>
            <w:pPr>
              <w:spacing w:line="240" w:lineRule="exact"/>
              <w:rPr>
                <w:rFonts w:asciiTheme="minorEastAsia" w:hAnsiTheme="minorEastAsia" w:eastAsiaTheme="minorEastAsia" w:cstheme="minorEastAsia"/>
                <w:sz w:val="18"/>
                <w:szCs w:val="18"/>
              </w:rPr>
            </w:pPr>
          </w:p>
        </w:tc>
        <w:tc>
          <w:tcPr>
            <w:tcW w:w="975" w:type="dxa"/>
            <w:vMerge w:val="continue"/>
            <w:tcBorders>
              <w:bottom w:val="single" w:color="auto" w:sz="4" w:space="0"/>
            </w:tcBorders>
            <w:shd w:val="clear" w:color="auto" w:fill="DEEBF6" w:themeFill="accent1" w:themeFillTint="32"/>
            <w:vAlign w:val="center"/>
          </w:tcPr>
          <w:p>
            <w:pPr>
              <w:spacing w:line="240" w:lineRule="exact"/>
              <w:rPr>
                <w:rFonts w:asciiTheme="minorEastAsia" w:hAnsiTheme="minorEastAsia" w:eastAsiaTheme="minorEastAsia" w:cstheme="minorEastAsia"/>
                <w:sz w:val="18"/>
                <w:szCs w:val="18"/>
              </w:rPr>
            </w:pPr>
          </w:p>
        </w:tc>
        <w:tc>
          <w:tcPr>
            <w:tcW w:w="779" w:type="dxa"/>
            <w:vMerge w:val="continue"/>
            <w:tcBorders>
              <w:bottom w:val="single" w:color="auto" w:sz="4" w:space="0"/>
              <w:right w:val="single" w:color="auto" w:sz="4" w:space="0"/>
            </w:tcBorders>
            <w:shd w:val="clear" w:color="auto" w:fill="DEEBF6" w:themeFill="accent1" w:themeFillTint="32"/>
            <w:vAlign w:val="center"/>
          </w:tcPr>
          <w:p>
            <w:pPr>
              <w:spacing w:line="240" w:lineRule="exact"/>
              <w:jc w:val="center"/>
              <w:rPr>
                <w:rFonts w:hint="eastAsia" w:ascii="方正兰亭黑_GBK" w:hAnsi="方正兰亭黑_GBK" w:eastAsia="方正兰亭黑_GBK" w:cs="方正兰亭黑_GBK"/>
                <w:color w:val="00000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742" w:hRule="atLeast"/>
        </w:trPr>
        <w:tc>
          <w:tcPr>
            <w:tcW w:w="1248" w:type="dxa"/>
            <w:vMerge w:val="restart"/>
            <w:tcBorders>
              <w:top w:val="single" w:color="auto" w:sz="4" w:space="0"/>
              <w:left w:val="single" w:color="auto" w:sz="4" w:space="0"/>
              <w:right w:val="single" w:color="auto" w:sz="4" w:space="0"/>
            </w:tcBorders>
            <w:shd w:val="clear" w:color="auto" w:fill="9CC2E5" w:themeFill="accent1" w:themeFillTint="99"/>
            <w:vAlign w:val="center"/>
          </w:tcPr>
          <w:p>
            <w:pPr>
              <w:spacing w:line="240" w:lineRule="exact"/>
              <w:jc w:val="center"/>
              <w:rPr>
                <w:rFonts w:ascii="方正兰亭黑_GBK" w:hAnsi="方正兰亭黑_GBK" w:eastAsia="方正兰亭黑_GBK" w:cs="方正兰亭黑_GBK"/>
                <w:color w:val="000000"/>
                <w:sz w:val="18"/>
                <w:szCs w:val="18"/>
              </w:rPr>
            </w:pPr>
            <w:r>
              <w:rPr>
                <w:rFonts w:ascii="方正兰亭黑_GBK" w:hAnsi="方正兰亭黑_GBK" w:eastAsia="方正兰亭黑_GBK" w:cs="方正兰亭黑_GBK"/>
                <w:color w:val="000000"/>
                <w:sz w:val="18"/>
                <w:szCs w:val="18"/>
              </w:rPr>
              <w:t>多式联运</w:t>
            </w:r>
          </w:p>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w:t>
            </w:r>
            <w:r>
              <w:rPr>
                <w:rFonts w:ascii="方正兰亭黑_GBK" w:hAnsi="方正兰亭黑_GBK" w:eastAsia="方正兰亭黑_GBK" w:cs="方正兰亭黑_GBK"/>
                <w:color w:val="000000"/>
                <w:sz w:val="18"/>
                <w:szCs w:val="18"/>
              </w:rPr>
              <w:t>一单制</w:t>
            </w:r>
            <w:r>
              <w:rPr>
                <w:rFonts w:hint="eastAsia" w:ascii="方正兰亭黑_GBK" w:hAnsi="方正兰亭黑_GBK" w:eastAsia="方正兰亭黑_GBK" w:cs="方正兰亭黑_GBK"/>
                <w:color w:val="000000"/>
                <w:sz w:val="18"/>
                <w:szCs w:val="18"/>
              </w:rPr>
              <w:t>”</w:t>
            </w:r>
          </w:p>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5"/>
                <w:szCs w:val="15"/>
              </w:rPr>
              <w:t>（成都青白江）</w:t>
            </w:r>
          </w:p>
        </w:tc>
        <w:tc>
          <w:tcPr>
            <w:tcW w:w="2178" w:type="dxa"/>
            <w:vMerge w:val="restart"/>
            <w:tcBorders>
              <w:top w:val="single" w:color="auto" w:sz="4" w:space="0"/>
              <w:left w:val="single" w:color="auto" w:sz="4" w:space="0"/>
              <w:right w:val="single" w:color="auto" w:sz="4" w:space="0"/>
            </w:tcBorders>
            <w:shd w:val="clear" w:color="auto" w:fill="BDD6EE" w:themeFill="accent1" w:themeFillTint="66"/>
            <w:vAlign w:val="center"/>
          </w:tcPr>
          <w:p>
            <w:pPr>
              <w:spacing w:line="240" w:lineRule="exact"/>
              <w:jc w:val="both"/>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多式联运“一单制”场景基于“一次委托、一口报价、一单到底、一票结算”的多式联运单证创新模式，通过搭建物联网信息平台，整合境内外物流服务供应商及相关物流、贸易数据，引入物流领域专业人才，形成成都“一单制”规则，推进跨境多式联运及中欧班列的信息化进程，打造1-10亿的港口金融服务生态圈；通过平台探索无纸化的交付流程，提高境内外单证传递效率；为跨境贸易提供门到门可追溯物流服务；实现“一单制”人民币结算，推进人民币国际化进程</w:t>
            </w:r>
          </w:p>
        </w:tc>
        <w:tc>
          <w:tcPr>
            <w:tcW w:w="645" w:type="dxa"/>
            <w:vMerge w:val="restart"/>
            <w:tcBorders>
              <w:top w:val="single" w:color="auto" w:sz="4" w:space="0"/>
              <w:left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方正兰亭黑_GBK" w:hAnsi="方正兰亭黑_GBK" w:eastAsia="方正兰亭黑_GBK" w:cs="方正兰亭黑_GBK"/>
                <w:color w:val="000000"/>
                <w:sz w:val="18"/>
                <w:szCs w:val="18"/>
              </w:rPr>
              <w:t>人才需求</w:t>
            </w:r>
          </w:p>
        </w:tc>
        <w:tc>
          <w:tcPr>
            <w:tcW w:w="990" w:type="dxa"/>
            <w:tcBorders>
              <w:top w:val="single" w:color="auto" w:sz="4" w:space="0"/>
              <w:bottom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关务</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（境内、境外）</w:t>
            </w:r>
          </w:p>
        </w:tc>
        <w:tc>
          <w:tcPr>
            <w:tcW w:w="4578" w:type="dxa"/>
            <w:tcBorders>
              <w:top w:val="single" w:color="auto" w:sz="4" w:space="0"/>
              <w:bottom w:val="single" w:color="auto" w:sz="4" w:space="0"/>
            </w:tcBorders>
            <w:shd w:val="clear" w:color="auto" w:fill="DEEBF6" w:themeFill="accent1" w:themeFillTint="32"/>
            <w:vAlign w:val="center"/>
          </w:tcPr>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专业要求：硕士及以上学历，国际货运及报关、国际贸易相关专业</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资历要求：1、三年及以上相关行业工作经验</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能力要求：1、充分了解通关流程，海关法规；2、英语CET 6以上，听、说、读、写能力较强者优先，可以和海外客户电话会议、邮件、面谈等多形式沟通；3、精通office、excel等办公软件，有较强的分析能力，能承受一定工作压力；4、物流专业或行业实操经验，相关资格证书优先</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招聘数量：2</w:t>
            </w:r>
            <w:r>
              <w:rPr>
                <w:rFonts w:hint="eastAsia" w:asciiTheme="minorEastAsia" w:hAnsiTheme="minorEastAsia" w:eastAsiaTheme="minorEastAsia" w:cstheme="minorEastAsia"/>
                <w:sz w:val="18"/>
                <w:szCs w:val="18"/>
              </w:rPr>
              <w:t>名</w:t>
            </w:r>
          </w:p>
        </w:tc>
        <w:tc>
          <w:tcPr>
            <w:tcW w:w="851" w:type="dxa"/>
            <w:vMerge w:val="restart"/>
            <w:tcBorders>
              <w:top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成都</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国际</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铁路港投资</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发展</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有限</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公司</w:t>
            </w:r>
          </w:p>
        </w:tc>
        <w:tc>
          <w:tcPr>
            <w:tcW w:w="796" w:type="dxa"/>
            <w:vMerge w:val="restart"/>
            <w:tcBorders>
              <w:top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龚庆</w:t>
            </w:r>
          </w:p>
        </w:tc>
        <w:tc>
          <w:tcPr>
            <w:tcW w:w="1262" w:type="dxa"/>
            <w:vMerge w:val="restart"/>
            <w:tcBorders>
              <w:top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pacing w:val="-6"/>
                <w:sz w:val="18"/>
                <w:szCs w:val="18"/>
              </w:rPr>
              <w:t>028-8</w:t>
            </w:r>
            <w:r>
              <w:rPr>
                <w:rFonts w:asciiTheme="minorEastAsia" w:hAnsiTheme="minorEastAsia" w:eastAsiaTheme="minorEastAsia" w:cstheme="minorEastAsia"/>
                <w:spacing w:val="-6"/>
                <w:sz w:val="18"/>
                <w:szCs w:val="18"/>
              </w:rPr>
              <w:t>9339097</w:t>
            </w:r>
          </w:p>
        </w:tc>
        <w:tc>
          <w:tcPr>
            <w:tcW w:w="975" w:type="dxa"/>
            <w:vMerge w:val="restart"/>
            <w:tcBorders>
              <w:top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2019.</w:t>
            </w:r>
            <w:r>
              <w:rPr>
                <w:rFonts w:hint="eastAsia" w:asciiTheme="minorEastAsia" w:hAnsiTheme="minorEastAsia" w:eastAsiaTheme="minorEastAsia" w:cstheme="minorEastAsia"/>
                <w:sz w:val="18"/>
                <w:szCs w:val="18"/>
              </w:rPr>
              <w:t>10</w:t>
            </w:r>
            <w:r>
              <w:rPr>
                <w:rFonts w:asciiTheme="minorEastAsia" w:hAnsiTheme="minorEastAsia" w:eastAsiaTheme="minorEastAsia" w:cstheme="minorEastAsia"/>
                <w:sz w:val="18"/>
                <w:szCs w:val="18"/>
              </w:rPr>
              <w:t>-1</w:t>
            </w:r>
            <w:r>
              <w:rPr>
                <w:rFonts w:hint="eastAsia" w:asciiTheme="minorEastAsia" w:hAnsiTheme="minorEastAsia" w:eastAsiaTheme="minorEastAsia" w:cstheme="minorEastAsia"/>
                <w:sz w:val="18"/>
                <w:szCs w:val="18"/>
              </w:rPr>
              <w:t>2</w:t>
            </w:r>
          </w:p>
        </w:tc>
        <w:tc>
          <w:tcPr>
            <w:tcW w:w="779" w:type="dxa"/>
            <w:vMerge w:val="restart"/>
            <w:tcBorders>
              <w:top w:val="single" w:color="auto" w:sz="4" w:space="0"/>
              <w:right w:val="single" w:color="auto" w:sz="4" w:space="0"/>
            </w:tcBorders>
            <w:shd w:val="clear" w:color="auto" w:fill="DEEBF6" w:themeFill="accent1" w:themeFillTint="32"/>
            <w:vAlign w:val="center"/>
          </w:tcPr>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临港</w:t>
            </w:r>
          </w:p>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服务业功能区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567" w:hRule="atLeast"/>
        </w:trPr>
        <w:tc>
          <w:tcPr>
            <w:tcW w:w="1248" w:type="dxa"/>
            <w:vMerge w:val="continue"/>
            <w:tcBorders>
              <w:left w:val="single" w:color="auto" w:sz="4" w:space="0"/>
              <w:right w:val="single" w:color="auto" w:sz="4" w:space="0"/>
            </w:tcBorders>
            <w:shd w:val="clear" w:color="auto" w:fill="9CC2E5" w:themeFill="accent1" w:themeFillTint="99"/>
            <w:vAlign w:val="center"/>
          </w:tcPr>
          <w:p>
            <w:pPr>
              <w:spacing w:line="240" w:lineRule="exact"/>
              <w:jc w:val="center"/>
              <w:rPr>
                <w:rFonts w:hint="eastAsia" w:ascii="方正兰亭黑_GBK" w:hAnsi="方正兰亭黑_GBK" w:eastAsia="方正兰亭黑_GBK" w:cs="方正兰亭黑_GBK"/>
                <w:sz w:val="18"/>
                <w:szCs w:val="18"/>
              </w:rPr>
            </w:pPr>
          </w:p>
        </w:tc>
        <w:tc>
          <w:tcPr>
            <w:tcW w:w="2178" w:type="dxa"/>
            <w:vMerge w:val="continue"/>
            <w:tcBorders>
              <w:left w:val="single" w:color="auto" w:sz="4" w:space="0"/>
              <w:right w:val="single" w:color="auto" w:sz="4" w:space="0"/>
            </w:tcBorders>
            <w:shd w:val="clear" w:color="auto" w:fill="BDD6EE" w:themeFill="accent1" w:themeFillTint="66"/>
            <w:vAlign w:val="center"/>
          </w:tcPr>
          <w:p>
            <w:pPr>
              <w:spacing w:line="240" w:lineRule="exact"/>
              <w:jc w:val="both"/>
              <w:rPr>
                <w:rFonts w:asciiTheme="minorEastAsia" w:hAnsiTheme="minorEastAsia" w:eastAsiaTheme="minorEastAsia" w:cstheme="minorEastAsia"/>
                <w:sz w:val="18"/>
                <w:szCs w:val="18"/>
              </w:rPr>
            </w:pPr>
          </w:p>
        </w:tc>
        <w:tc>
          <w:tcPr>
            <w:tcW w:w="645" w:type="dxa"/>
            <w:vMerge w:val="continue"/>
            <w:tcBorders>
              <w:left w:val="single" w:color="auto" w:sz="4" w:space="0"/>
            </w:tcBorders>
            <w:shd w:val="clear" w:color="auto" w:fill="DEEBF6" w:themeFill="accent1" w:themeFillTint="32"/>
            <w:vAlign w:val="center"/>
          </w:tcPr>
          <w:p>
            <w:pPr>
              <w:spacing w:line="240" w:lineRule="exact"/>
              <w:rPr>
                <w:rFonts w:asciiTheme="minorEastAsia" w:hAnsiTheme="minorEastAsia" w:eastAsiaTheme="minorEastAsia" w:cstheme="minorEastAsia"/>
                <w:sz w:val="18"/>
                <w:szCs w:val="18"/>
              </w:rPr>
            </w:pPr>
          </w:p>
        </w:tc>
        <w:tc>
          <w:tcPr>
            <w:tcW w:w="990" w:type="dxa"/>
            <w:tcBorders>
              <w:top w:val="single" w:color="auto" w:sz="4" w:space="0"/>
              <w:bottom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一单制</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金融专业人才</w:t>
            </w:r>
          </w:p>
        </w:tc>
        <w:tc>
          <w:tcPr>
            <w:tcW w:w="4578" w:type="dxa"/>
            <w:tcBorders>
              <w:top w:val="single" w:color="auto" w:sz="4" w:space="0"/>
              <w:bottom w:val="single" w:color="auto" w:sz="4" w:space="0"/>
            </w:tcBorders>
            <w:shd w:val="clear" w:color="auto" w:fill="DEEBF6" w:themeFill="accent1" w:themeFillTint="32"/>
            <w:vAlign w:val="center"/>
          </w:tcPr>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专业要求：金融、国际贸易及相关专业</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资历要求：三年以上金融行业工作经验</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能力要求：熟悉银行、保险公司、保理公司信贷业务流程及风险控制要素</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招聘数量：1</w:t>
            </w:r>
            <w:r>
              <w:rPr>
                <w:rFonts w:hint="eastAsia" w:asciiTheme="minorEastAsia" w:hAnsiTheme="minorEastAsia" w:eastAsiaTheme="minorEastAsia" w:cstheme="minorEastAsia"/>
                <w:sz w:val="18"/>
                <w:szCs w:val="18"/>
              </w:rPr>
              <w:t>名</w:t>
            </w:r>
          </w:p>
        </w:tc>
        <w:tc>
          <w:tcPr>
            <w:tcW w:w="851" w:type="dxa"/>
            <w:vMerge w:val="continue"/>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p>
        </w:tc>
        <w:tc>
          <w:tcPr>
            <w:tcW w:w="796" w:type="dxa"/>
            <w:vMerge w:val="continue"/>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p>
        </w:tc>
        <w:tc>
          <w:tcPr>
            <w:tcW w:w="1262" w:type="dxa"/>
            <w:vMerge w:val="continue"/>
            <w:shd w:val="clear" w:color="auto" w:fill="DEEBF6" w:themeFill="accent1" w:themeFillTint="32"/>
            <w:vAlign w:val="center"/>
          </w:tcPr>
          <w:p>
            <w:pPr>
              <w:spacing w:line="240" w:lineRule="exact"/>
              <w:rPr>
                <w:rFonts w:asciiTheme="minorEastAsia" w:hAnsiTheme="minorEastAsia" w:eastAsiaTheme="minorEastAsia" w:cstheme="minorEastAsia"/>
                <w:sz w:val="18"/>
                <w:szCs w:val="18"/>
              </w:rPr>
            </w:pPr>
          </w:p>
        </w:tc>
        <w:tc>
          <w:tcPr>
            <w:tcW w:w="975" w:type="dxa"/>
            <w:vMerge w:val="continue"/>
            <w:shd w:val="clear" w:color="auto" w:fill="DEEBF6" w:themeFill="accent1" w:themeFillTint="32"/>
            <w:vAlign w:val="center"/>
          </w:tcPr>
          <w:p>
            <w:pPr>
              <w:spacing w:line="240" w:lineRule="exact"/>
              <w:rPr>
                <w:rFonts w:asciiTheme="minorEastAsia" w:hAnsiTheme="minorEastAsia" w:eastAsiaTheme="minorEastAsia" w:cstheme="minorEastAsia"/>
                <w:sz w:val="18"/>
                <w:szCs w:val="18"/>
              </w:rPr>
            </w:pPr>
          </w:p>
        </w:tc>
        <w:tc>
          <w:tcPr>
            <w:tcW w:w="779" w:type="dxa"/>
            <w:vMerge w:val="continue"/>
            <w:tcBorders>
              <w:right w:val="single" w:color="auto" w:sz="4" w:space="0"/>
            </w:tcBorders>
            <w:shd w:val="clear" w:color="auto" w:fill="DEEBF6" w:themeFill="accent1" w:themeFillTint="32"/>
            <w:vAlign w:val="center"/>
          </w:tcPr>
          <w:p>
            <w:pPr>
              <w:spacing w:line="240" w:lineRule="exact"/>
              <w:jc w:val="center"/>
              <w:rPr>
                <w:rFonts w:hint="eastAsia" w:ascii="方正兰亭黑_GBK" w:hAnsi="方正兰亭黑_GBK" w:eastAsia="方正兰亭黑_GBK" w:cs="方正兰亭黑_GBK"/>
                <w:color w:val="00000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1384" w:hRule="atLeast"/>
        </w:trPr>
        <w:tc>
          <w:tcPr>
            <w:tcW w:w="1248" w:type="dxa"/>
            <w:vMerge w:val="continue"/>
            <w:tcBorders>
              <w:left w:val="single" w:color="auto" w:sz="4" w:space="0"/>
              <w:right w:val="single" w:color="auto" w:sz="4" w:space="0"/>
            </w:tcBorders>
            <w:shd w:val="clear" w:color="auto" w:fill="9CC2E5" w:themeFill="accent1" w:themeFillTint="99"/>
            <w:vAlign w:val="center"/>
          </w:tcPr>
          <w:p>
            <w:pPr>
              <w:spacing w:line="240" w:lineRule="exact"/>
              <w:jc w:val="center"/>
              <w:rPr>
                <w:rFonts w:hint="eastAsia" w:ascii="方正兰亭黑_GBK" w:hAnsi="方正兰亭黑_GBK" w:eastAsia="方正兰亭黑_GBK" w:cs="方正兰亭黑_GBK"/>
                <w:sz w:val="18"/>
                <w:szCs w:val="18"/>
              </w:rPr>
            </w:pPr>
          </w:p>
        </w:tc>
        <w:tc>
          <w:tcPr>
            <w:tcW w:w="2178" w:type="dxa"/>
            <w:vMerge w:val="continue"/>
            <w:tcBorders>
              <w:left w:val="single" w:color="auto" w:sz="4" w:space="0"/>
              <w:right w:val="single" w:color="auto" w:sz="4" w:space="0"/>
            </w:tcBorders>
            <w:shd w:val="clear" w:color="auto" w:fill="BDD6EE" w:themeFill="accent1" w:themeFillTint="66"/>
            <w:vAlign w:val="center"/>
          </w:tcPr>
          <w:p>
            <w:pPr>
              <w:spacing w:line="240" w:lineRule="exact"/>
              <w:jc w:val="both"/>
              <w:rPr>
                <w:rFonts w:asciiTheme="minorEastAsia" w:hAnsiTheme="minorEastAsia" w:eastAsiaTheme="minorEastAsia" w:cstheme="minorEastAsia"/>
                <w:sz w:val="18"/>
                <w:szCs w:val="18"/>
              </w:rPr>
            </w:pPr>
          </w:p>
        </w:tc>
        <w:tc>
          <w:tcPr>
            <w:tcW w:w="645" w:type="dxa"/>
            <w:vMerge w:val="continue"/>
            <w:tcBorders>
              <w:left w:val="single" w:color="auto" w:sz="4" w:space="0"/>
            </w:tcBorders>
            <w:shd w:val="clear" w:color="auto" w:fill="DEEBF6" w:themeFill="accent1" w:themeFillTint="32"/>
            <w:vAlign w:val="center"/>
          </w:tcPr>
          <w:p>
            <w:pPr>
              <w:spacing w:line="240" w:lineRule="exact"/>
              <w:rPr>
                <w:rFonts w:asciiTheme="minorEastAsia" w:hAnsiTheme="minorEastAsia" w:eastAsiaTheme="minorEastAsia" w:cstheme="minorEastAsia"/>
                <w:sz w:val="18"/>
                <w:szCs w:val="18"/>
              </w:rPr>
            </w:pPr>
          </w:p>
        </w:tc>
        <w:tc>
          <w:tcPr>
            <w:tcW w:w="990" w:type="dxa"/>
            <w:tcBorders>
              <w:top w:val="single" w:color="auto" w:sz="4" w:space="0"/>
              <w:bottom w:val="single" w:color="auto" w:sz="4" w:space="0"/>
            </w:tcBorders>
            <w:shd w:val="clear" w:color="auto" w:fill="DEEBF6" w:themeFill="accent1" w:themeFillTint="32"/>
            <w:vAlign w:val="center"/>
          </w:tcPr>
          <w:p>
            <w:pPr>
              <w:spacing w:line="28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市场营销专业人才</w:t>
            </w:r>
          </w:p>
        </w:tc>
        <w:tc>
          <w:tcPr>
            <w:tcW w:w="4578" w:type="dxa"/>
            <w:tcBorders>
              <w:top w:val="single" w:color="auto" w:sz="4" w:space="0"/>
              <w:bottom w:val="single" w:color="auto" w:sz="4" w:space="0"/>
            </w:tcBorders>
            <w:shd w:val="clear" w:color="auto" w:fill="DEEBF6" w:themeFill="accent1" w:themeFillTint="32"/>
            <w:vAlign w:val="center"/>
          </w:tcPr>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专业要求：物流、交通运输及相关专业</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资历要求：三年以上物流、运输行业工作经验</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能力要求：</w:t>
            </w:r>
            <w:r>
              <w:rPr>
                <w:rFonts w:asciiTheme="minorEastAsia" w:hAnsiTheme="minorEastAsia" w:eastAsiaTheme="minorEastAsia" w:cstheme="minorEastAsia"/>
                <w:spacing w:val="-6"/>
                <w:sz w:val="18"/>
                <w:szCs w:val="18"/>
              </w:rPr>
              <w:t>熟悉国际物流运输业务，具备谈判技巧与经验</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人数：2</w:t>
            </w:r>
            <w:r>
              <w:rPr>
                <w:rFonts w:hint="eastAsia" w:asciiTheme="minorEastAsia" w:hAnsiTheme="minorEastAsia" w:eastAsiaTheme="minorEastAsia" w:cstheme="minorEastAsia"/>
                <w:sz w:val="18"/>
                <w:szCs w:val="18"/>
              </w:rPr>
              <w:t>名</w:t>
            </w:r>
          </w:p>
        </w:tc>
        <w:tc>
          <w:tcPr>
            <w:tcW w:w="851" w:type="dxa"/>
            <w:vMerge w:val="continue"/>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p>
        </w:tc>
        <w:tc>
          <w:tcPr>
            <w:tcW w:w="796" w:type="dxa"/>
            <w:vMerge w:val="continue"/>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p>
        </w:tc>
        <w:tc>
          <w:tcPr>
            <w:tcW w:w="1262" w:type="dxa"/>
            <w:vMerge w:val="continue"/>
            <w:shd w:val="clear" w:color="auto" w:fill="DEEBF6" w:themeFill="accent1" w:themeFillTint="32"/>
            <w:vAlign w:val="center"/>
          </w:tcPr>
          <w:p>
            <w:pPr>
              <w:spacing w:line="240" w:lineRule="exact"/>
              <w:rPr>
                <w:rFonts w:asciiTheme="minorEastAsia" w:hAnsiTheme="minorEastAsia" w:eastAsiaTheme="minorEastAsia" w:cstheme="minorEastAsia"/>
                <w:sz w:val="18"/>
                <w:szCs w:val="18"/>
              </w:rPr>
            </w:pPr>
          </w:p>
        </w:tc>
        <w:tc>
          <w:tcPr>
            <w:tcW w:w="975" w:type="dxa"/>
            <w:vMerge w:val="continue"/>
            <w:shd w:val="clear" w:color="auto" w:fill="DEEBF6" w:themeFill="accent1" w:themeFillTint="32"/>
            <w:vAlign w:val="center"/>
          </w:tcPr>
          <w:p>
            <w:pPr>
              <w:spacing w:line="240" w:lineRule="exact"/>
              <w:rPr>
                <w:rFonts w:asciiTheme="minorEastAsia" w:hAnsiTheme="minorEastAsia" w:eastAsiaTheme="minorEastAsia" w:cstheme="minorEastAsia"/>
                <w:sz w:val="18"/>
                <w:szCs w:val="18"/>
              </w:rPr>
            </w:pPr>
          </w:p>
        </w:tc>
        <w:tc>
          <w:tcPr>
            <w:tcW w:w="779" w:type="dxa"/>
            <w:vMerge w:val="continue"/>
            <w:tcBorders>
              <w:right w:val="single" w:color="auto" w:sz="4" w:space="0"/>
            </w:tcBorders>
            <w:shd w:val="clear" w:color="auto" w:fill="DEEBF6" w:themeFill="accent1" w:themeFillTint="32"/>
            <w:vAlign w:val="center"/>
          </w:tcPr>
          <w:p>
            <w:pPr>
              <w:spacing w:line="240" w:lineRule="exact"/>
              <w:jc w:val="center"/>
              <w:rPr>
                <w:rFonts w:hint="eastAsia" w:ascii="方正兰亭黑_GBK" w:hAnsi="方正兰亭黑_GBK" w:eastAsia="方正兰亭黑_GBK" w:cs="方正兰亭黑_GBK"/>
                <w:color w:val="00000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583" w:hRule="atLeast"/>
        </w:trPr>
        <w:tc>
          <w:tcPr>
            <w:tcW w:w="1248" w:type="dxa"/>
            <w:vMerge w:val="continue"/>
            <w:tcBorders>
              <w:left w:val="single" w:color="auto" w:sz="4" w:space="0"/>
              <w:bottom w:val="single" w:color="auto" w:sz="4" w:space="0"/>
              <w:right w:val="single" w:color="auto" w:sz="4" w:space="0"/>
            </w:tcBorders>
            <w:shd w:val="clear" w:color="auto" w:fill="9CC2E5" w:themeFill="accent1" w:themeFillTint="99"/>
            <w:vAlign w:val="center"/>
          </w:tcPr>
          <w:p>
            <w:pPr>
              <w:spacing w:line="240" w:lineRule="exact"/>
              <w:jc w:val="center"/>
              <w:rPr>
                <w:rFonts w:hint="eastAsia" w:ascii="方正兰亭黑_GBK" w:hAnsi="方正兰亭黑_GBK" w:eastAsia="方正兰亭黑_GBK" w:cs="方正兰亭黑_GBK"/>
                <w:sz w:val="18"/>
                <w:szCs w:val="18"/>
              </w:rPr>
            </w:pPr>
          </w:p>
        </w:tc>
        <w:tc>
          <w:tcPr>
            <w:tcW w:w="2178" w:type="dxa"/>
            <w:vMerge w:val="continue"/>
            <w:tcBorders>
              <w:left w:val="single" w:color="auto" w:sz="4" w:space="0"/>
              <w:bottom w:val="single" w:color="auto" w:sz="4" w:space="0"/>
              <w:right w:val="single" w:color="auto" w:sz="4" w:space="0"/>
            </w:tcBorders>
            <w:shd w:val="clear" w:color="auto" w:fill="BDD6EE" w:themeFill="accent1" w:themeFillTint="66"/>
            <w:vAlign w:val="center"/>
          </w:tcPr>
          <w:p>
            <w:pPr>
              <w:spacing w:line="240" w:lineRule="exact"/>
              <w:jc w:val="both"/>
              <w:rPr>
                <w:rFonts w:asciiTheme="minorEastAsia" w:hAnsiTheme="minorEastAsia" w:eastAsiaTheme="minorEastAsia" w:cstheme="minorEastAsia"/>
                <w:sz w:val="18"/>
                <w:szCs w:val="18"/>
              </w:rPr>
            </w:pPr>
          </w:p>
        </w:tc>
        <w:tc>
          <w:tcPr>
            <w:tcW w:w="645" w:type="dxa"/>
            <w:vMerge w:val="continue"/>
            <w:tcBorders>
              <w:left w:val="single" w:color="auto" w:sz="4" w:space="0"/>
              <w:bottom w:val="single" w:color="auto" w:sz="4" w:space="0"/>
            </w:tcBorders>
            <w:shd w:val="clear" w:color="auto" w:fill="DEEBF6" w:themeFill="accent1" w:themeFillTint="32"/>
            <w:vAlign w:val="center"/>
          </w:tcPr>
          <w:p>
            <w:pPr>
              <w:spacing w:line="240" w:lineRule="exact"/>
              <w:rPr>
                <w:rFonts w:asciiTheme="minorEastAsia" w:hAnsiTheme="minorEastAsia" w:eastAsiaTheme="minorEastAsia" w:cstheme="minorEastAsia"/>
                <w:sz w:val="18"/>
                <w:szCs w:val="18"/>
              </w:rPr>
            </w:pPr>
          </w:p>
        </w:tc>
        <w:tc>
          <w:tcPr>
            <w:tcW w:w="990" w:type="dxa"/>
            <w:tcBorders>
              <w:top w:val="single" w:color="auto" w:sz="4" w:space="0"/>
              <w:bottom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国际贸易项目经理</w:t>
            </w:r>
          </w:p>
        </w:tc>
        <w:tc>
          <w:tcPr>
            <w:tcW w:w="4578" w:type="dxa"/>
            <w:tcBorders>
              <w:top w:val="single" w:color="auto" w:sz="4" w:space="0"/>
              <w:bottom w:val="single" w:color="auto" w:sz="4" w:space="0"/>
            </w:tcBorders>
            <w:shd w:val="clear" w:color="auto" w:fill="DEEBF6" w:themeFill="accent1" w:themeFillTint="32"/>
            <w:vAlign w:val="center"/>
          </w:tcPr>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学历要求：全日制本科及以上学历</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专业要求：国际贸易或英语相关专业</w:t>
            </w:r>
            <w:r>
              <w:rPr>
                <w:rFonts w:asciiTheme="minorEastAsia" w:hAnsiTheme="minorEastAsia" w:eastAsiaTheme="minorEastAsia" w:cstheme="minorEastAsia"/>
                <w:sz w:val="18"/>
                <w:szCs w:val="18"/>
              </w:rPr>
              <w:br w:type="textWrapping"/>
            </w:r>
            <w:r>
              <w:rPr>
                <w:rFonts w:asciiTheme="minorEastAsia" w:hAnsiTheme="minorEastAsia" w:eastAsiaTheme="minorEastAsia" w:cstheme="minorEastAsia"/>
                <w:sz w:val="18"/>
                <w:szCs w:val="18"/>
              </w:rPr>
              <w:t>资历要求：具有5年以上国际贸易同岗工作经验、有国际贸易项目营销或贸易团队组建经验</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能力要求：1.熟悉国际贸易业务知识及政策法规，熟悉进出口贸易操作流程；2.具备较强的业务开拓能力，精通商务谈判和市场营销；3.英语熟练，具有良好的英语听、说、读、写能力</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招聘数量：4</w:t>
            </w:r>
            <w:r>
              <w:rPr>
                <w:rFonts w:hint="eastAsia" w:asciiTheme="minorEastAsia" w:hAnsiTheme="minorEastAsia" w:eastAsiaTheme="minorEastAsia" w:cstheme="minorEastAsia"/>
                <w:sz w:val="18"/>
                <w:szCs w:val="18"/>
              </w:rPr>
              <w:t>名</w:t>
            </w:r>
          </w:p>
        </w:tc>
        <w:tc>
          <w:tcPr>
            <w:tcW w:w="851" w:type="dxa"/>
            <w:vMerge w:val="continue"/>
            <w:tcBorders>
              <w:bottom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p>
        </w:tc>
        <w:tc>
          <w:tcPr>
            <w:tcW w:w="796" w:type="dxa"/>
            <w:vMerge w:val="continue"/>
            <w:tcBorders>
              <w:bottom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p>
        </w:tc>
        <w:tc>
          <w:tcPr>
            <w:tcW w:w="1262" w:type="dxa"/>
            <w:vMerge w:val="continue"/>
            <w:tcBorders>
              <w:bottom w:val="single" w:color="auto" w:sz="4" w:space="0"/>
            </w:tcBorders>
            <w:shd w:val="clear" w:color="auto" w:fill="DEEBF6" w:themeFill="accent1" w:themeFillTint="32"/>
            <w:vAlign w:val="center"/>
          </w:tcPr>
          <w:p>
            <w:pPr>
              <w:spacing w:line="240" w:lineRule="exact"/>
              <w:rPr>
                <w:rFonts w:asciiTheme="minorEastAsia" w:hAnsiTheme="minorEastAsia" w:eastAsiaTheme="minorEastAsia" w:cstheme="minorEastAsia"/>
                <w:sz w:val="18"/>
                <w:szCs w:val="18"/>
              </w:rPr>
            </w:pPr>
          </w:p>
        </w:tc>
        <w:tc>
          <w:tcPr>
            <w:tcW w:w="975" w:type="dxa"/>
            <w:vMerge w:val="continue"/>
            <w:tcBorders>
              <w:bottom w:val="single" w:color="auto" w:sz="4" w:space="0"/>
            </w:tcBorders>
            <w:shd w:val="clear" w:color="auto" w:fill="DEEBF6" w:themeFill="accent1" w:themeFillTint="32"/>
            <w:vAlign w:val="center"/>
          </w:tcPr>
          <w:p>
            <w:pPr>
              <w:spacing w:line="240" w:lineRule="exact"/>
              <w:rPr>
                <w:rFonts w:asciiTheme="minorEastAsia" w:hAnsiTheme="minorEastAsia" w:eastAsiaTheme="minorEastAsia" w:cstheme="minorEastAsia"/>
                <w:sz w:val="18"/>
                <w:szCs w:val="18"/>
              </w:rPr>
            </w:pPr>
          </w:p>
        </w:tc>
        <w:tc>
          <w:tcPr>
            <w:tcW w:w="779" w:type="dxa"/>
            <w:vMerge w:val="continue"/>
            <w:tcBorders>
              <w:bottom w:val="single" w:color="auto" w:sz="4" w:space="0"/>
              <w:right w:val="single" w:color="auto" w:sz="4" w:space="0"/>
            </w:tcBorders>
            <w:shd w:val="clear" w:color="auto" w:fill="DEEBF6" w:themeFill="accent1" w:themeFillTint="32"/>
            <w:vAlign w:val="center"/>
          </w:tcPr>
          <w:p>
            <w:pPr>
              <w:spacing w:line="240" w:lineRule="exact"/>
              <w:jc w:val="center"/>
              <w:rPr>
                <w:rFonts w:hint="eastAsia" w:ascii="方正兰亭黑_GBK" w:hAnsi="方正兰亭黑_GBK" w:eastAsia="方正兰亭黑_GBK" w:cs="方正兰亭黑_GBK"/>
                <w:color w:val="00000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567" w:hRule="atLeast"/>
        </w:trPr>
        <w:tc>
          <w:tcPr>
            <w:tcW w:w="1248" w:type="dxa"/>
            <w:vMerge w:val="restart"/>
            <w:tcBorders>
              <w:top w:val="single" w:color="auto" w:sz="4" w:space="0"/>
              <w:left w:val="single" w:color="auto" w:sz="4" w:space="0"/>
              <w:right w:val="single" w:color="auto" w:sz="4" w:space="0"/>
            </w:tcBorders>
            <w:shd w:val="clear" w:color="auto" w:fill="9CC2E5" w:themeFill="accent1" w:themeFillTint="99"/>
            <w:vAlign w:val="center"/>
          </w:tcPr>
          <w:p>
            <w:pPr>
              <w:spacing w:line="240" w:lineRule="exact"/>
              <w:jc w:val="center"/>
              <w:rPr>
                <w:rFonts w:ascii="方正兰亭黑_GBK" w:hAnsi="方正兰亭黑_GBK" w:eastAsia="方正兰亭黑_GBK" w:cs="方正兰亭黑_GBK"/>
                <w:color w:val="000000"/>
                <w:sz w:val="18"/>
                <w:szCs w:val="18"/>
              </w:rPr>
            </w:pPr>
            <w:r>
              <w:rPr>
                <w:rFonts w:ascii="方正兰亭黑_GBK" w:hAnsi="方正兰亭黑_GBK" w:eastAsia="方正兰亭黑_GBK" w:cs="方正兰亭黑_GBK"/>
                <w:color w:val="000000"/>
                <w:sz w:val="18"/>
                <w:szCs w:val="18"/>
              </w:rPr>
              <w:t>多式联运</w:t>
            </w:r>
          </w:p>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w:t>
            </w:r>
            <w:r>
              <w:rPr>
                <w:rFonts w:ascii="方正兰亭黑_GBK" w:hAnsi="方正兰亭黑_GBK" w:eastAsia="方正兰亭黑_GBK" w:cs="方正兰亭黑_GBK"/>
                <w:color w:val="000000"/>
                <w:sz w:val="18"/>
                <w:szCs w:val="18"/>
              </w:rPr>
              <w:t>一单制</w:t>
            </w:r>
            <w:r>
              <w:rPr>
                <w:rFonts w:hint="eastAsia" w:ascii="方正兰亭黑_GBK" w:hAnsi="方正兰亭黑_GBK" w:eastAsia="方正兰亭黑_GBK" w:cs="方正兰亭黑_GBK"/>
                <w:color w:val="000000"/>
                <w:sz w:val="18"/>
                <w:szCs w:val="18"/>
              </w:rPr>
              <w:t>”</w:t>
            </w:r>
          </w:p>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5"/>
                <w:szCs w:val="15"/>
              </w:rPr>
              <w:t>（成都青白江）</w:t>
            </w:r>
          </w:p>
        </w:tc>
        <w:tc>
          <w:tcPr>
            <w:tcW w:w="2178" w:type="dxa"/>
            <w:vMerge w:val="restart"/>
            <w:tcBorders>
              <w:top w:val="single" w:color="auto" w:sz="4" w:space="0"/>
              <w:left w:val="single" w:color="auto" w:sz="4" w:space="0"/>
              <w:right w:val="single" w:color="auto" w:sz="4" w:space="0"/>
            </w:tcBorders>
            <w:shd w:val="clear" w:color="auto" w:fill="BDD6EE" w:themeFill="accent1" w:themeFillTint="66"/>
            <w:vAlign w:val="center"/>
          </w:tcPr>
          <w:p>
            <w:pPr>
              <w:spacing w:line="240" w:lineRule="exact"/>
              <w:jc w:val="both"/>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pacing w:val="-6"/>
                <w:sz w:val="16"/>
                <w:szCs w:val="16"/>
              </w:rPr>
              <w:t>多式联运“一单制”场景基于“一次委托、一口报价、一单到底、一票结算”的多式联运单证创新模式，通过搭建物联网信息平台，整合境内外物流服务供应商及相关物流、贸易数据，引入物流领域专业人才，形成成都“一单制”规则，推进跨境多式联运及中欧班列的信息化进程，打造1-10亿的港口金融服务生态圈；通过平台探索无纸化的交付流程，提高境内外单证传递效率；为跨境贸易提供门到门可追溯物流服务；实现“一单制”人民币结算，推进人民币国际化进程</w:t>
            </w:r>
          </w:p>
        </w:tc>
        <w:tc>
          <w:tcPr>
            <w:tcW w:w="645" w:type="dxa"/>
            <w:tcBorders>
              <w:top w:val="single" w:color="auto" w:sz="4" w:space="0"/>
              <w:left w:val="single" w:color="auto" w:sz="4" w:space="0"/>
              <w:bottom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方正兰亭黑_GBK" w:hAnsi="方正兰亭黑_GBK" w:eastAsia="方正兰亭黑_GBK" w:cs="方正兰亭黑_GBK"/>
                <w:color w:val="000000"/>
                <w:sz w:val="18"/>
                <w:szCs w:val="18"/>
              </w:rPr>
              <w:t>人才需求</w:t>
            </w:r>
          </w:p>
        </w:tc>
        <w:tc>
          <w:tcPr>
            <w:tcW w:w="990" w:type="dxa"/>
            <w:tcBorders>
              <w:top w:val="single" w:color="auto" w:sz="4" w:space="0"/>
              <w:bottom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供应链</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金融项目运营</w:t>
            </w:r>
          </w:p>
        </w:tc>
        <w:tc>
          <w:tcPr>
            <w:tcW w:w="4578" w:type="dxa"/>
            <w:tcBorders>
              <w:top w:val="single" w:color="auto" w:sz="4" w:space="0"/>
              <w:bottom w:val="single" w:color="auto" w:sz="4" w:space="0"/>
            </w:tcBorders>
            <w:shd w:val="clear" w:color="auto" w:fill="DEEBF6" w:themeFill="accent1" w:themeFillTint="32"/>
            <w:vAlign w:val="center"/>
          </w:tcPr>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学历要求：全日制本科及以上学历</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专业要求：金融、国际贸易、经济类专业</w:t>
            </w:r>
            <w:r>
              <w:rPr>
                <w:rFonts w:asciiTheme="minorEastAsia" w:hAnsiTheme="minorEastAsia" w:eastAsiaTheme="minorEastAsia" w:cstheme="minorEastAsia"/>
                <w:sz w:val="18"/>
                <w:szCs w:val="18"/>
              </w:rPr>
              <w:br w:type="textWrapping"/>
            </w:r>
            <w:r>
              <w:rPr>
                <w:rFonts w:asciiTheme="minorEastAsia" w:hAnsiTheme="minorEastAsia" w:eastAsiaTheme="minorEastAsia" w:cstheme="minorEastAsia"/>
                <w:sz w:val="18"/>
                <w:szCs w:val="18"/>
              </w:rPr>
              <w:t>资历要求：具有业务相关高级以上职称或执业资格者、具有5年以上供应链金融业务开发或项目管理经验</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能力要求：1.熟悉金融、经济领域相关政策法规，熟悉供应链金融业务操作及风险控制；2.具有较强的沟通、协调及谈判能力；3.具有良好的职业素养和职业操守</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招聘数量：4</w:t>
            </w:r>
            <w:r>
              <w:rPr>
                <w:rFonts w:hint="eastAsia" w:asciiTheme="minorEastAsia" w:hAnsiTheme="minorEastAsia" w:eastAsiaTheme="minorEastAsia" w:cstheme="minorEastAsia"/>
                <w:sz w:val="18"/>
                <w:szCs w:val="18"/>
              </w:rPr>
              <w:t>名</w:t>
            </w:r>
          </w:p>
        </w:tc>
        <w:tc>
          <w:tcPr>
            <w:tcW w:w="851" w:type="dxa"/>
            <w:tcBorders>
              <w:top w:val="single" w:color="auto" w:sz="4" w:space="0"/>
              <w:bottom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成都</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国际</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铁路港投资</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发展</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有限</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公司</w:t>
            </w:r>
          </w:p>
        </w:tc>
        <w:tc>
          <w:tcPr>
            <w:tcW w:w="796" w:type="dxa"/>
            <w:tcBorders>
              <w:top w:val="single" w:color="auto" w:sz="4" w:space="0"/>
              <w:bottom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龚庆</w:t>
            </w:r>
          </w:p>
        </w:tc>
        <w:tc>
          <w:tcPr>
            <w:tcW w:w="1262" w:type="dxa"/>
            <w:tcBorders>
              <w:top w:val="single" w:color="auto" w:sz="4" w:space="0"/>
              <w:bottom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pacing w:val="-6"/>
                <w:sz w:val="18"/>
                <w:szCs w:val="18"/>
              </w:rPr>
              <w:t>028-8</w:t>
            </w:r>
            <w:r>
              <w:rPr>
                <w:rFonts w:asciiTheme="minorEastAsia" w:hAnsiTheme="minorEastAsia" w:eastAsiaTheme="minorEastAsia" w:cstheme="minorEastAsia"/>
                <w:spacing w:val="-6"/>
                <w:sz w:val="18"/>
                <w:szCs w:val="18"/>
              </w:rPr>
              <w:t>9339097</w:t>
            </w:r>
          </w:p>
        </w:tc>
        <w:tc>
          <w:tcPr>
            <w:tcW w:w="975" w:type="dxa"/>
            <w:tcBorders>
              <w:top w:val="single" w:color="auto" w:sz="4" w:space="0"/>
              <w:bottom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2019.</w:t>
            </w:r>
            <w:r>
              <w:rPr>
                <w:rFonts w:hint="eastAsia" w:asciiTheme="minorEastAsia" w:hAnsiTheme="minorEastAsia" w:eastAsiaTheme="minorEastAsia" w:cstheme="minorEastAsia"/>
                <w:sz w:val="18"/>
                <w:szCs w:val="18"/>
              </w:rPr>
              <w:t>10</w:t>
            </w:r>
            <w:r>
              <w:rPr>
                <w:rFonts w:asciiTheme="minorEastAsia" w:hAnsiTheme="minorEastAsia" w:eastAsiaTheme="minorEastAsia" w:cstheme="minorEastAsia"/>
                <w:sz w:val="18"/>
                <w:szCs w:val="18"/>
              </w:rPr>
              <w:t>-1</w:t>
            </w:r>
            <w:r>
              <w:rPr>
                <w:rFonts w:hint="eastAsia" w:asciiTheme="minorEastAsia" w:hAnsiTheme="minorEastAsia" w:eastAsiaTheme="minorEastAsia" w:cstheme="minorEastAsia"/>
                <w:sz w:val="18"/>
                <w:szCs w:val="18"/>
              </w:rPr>
              <w:t>2</w:t>
            </w:r>
          </w:p>
        </w:tc>
        <w:tc>
          <w:tcPr>
            <w:tcW w:w="779" w:type="dxa"/>
            <w:vMerge w:val="restart"/>
            <w:tcBorders>
              <w:top w:val="single" w:color="auto" w:sz="4" w:space="0"/>
              <w:right w:val="single" w:color="auto" w:sz="4" w:space="0"/>
            </w:tcBorders>
            <w:shd w:val="clear" w:color="auto" w:fill="DEEBF6" w:themeFill="accent1" w:themeFillTint="32"/>
            <w:vAlign w:val="center"/>
          </w:tcPr>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临港</w:t>
            </w:r>
          </w:p>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服务业功能区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935" w:hRule="atLeast"/>
        </w:trPr>
        <w:tc>
          <w:tcPr>
            <w:tcW w:w="1248" w:type="dxa"/>
            <w:vMerge w:val="continue"/>
            <w:tcBorders>
              <w:left w:val="single" w:color="auto" w:sz="4" w:space="0"/>
              <w:right w:val="single" w:color="auto" w:sz="4" w:space="0"/>
            </w:tcBorders>
            <w:shd w:val="clear" w:color="auto" w:fill="9CC2E5" w:themeFill="accent1" w:themeFillTint="99"/>
            <w:vAlign w:val="center"/>
          </w:tcPr>
          <w:p>
            <w:pPr>
              <w:spacing w:line="240" w:lineRule="exact"/>
              <w:jc w:val="center"/>
              <w:rPr>
                <w:rFonts w:hint="eastAsia" w:ascii="方正兰亭黑_GBK" w:hAnsi="方正兰亭黑_GBK" w:eastAsia="方正兰亭黑_GBK" w:cs="方正兰亭黑_GBK"/>
                <w:sz w:val="18"/>
                <w:szCs w:val="18"/>
              </w:rPr>
            </w:pPr>
          </w:p>
        </w:tc>
        <w:tc>
          <w:tcPr>
            <w:tcW w:w="2178" w:type="dxa"/>
            <w:vMerge w:val="continue"/>
            <w:tcBorders>
              <w:left w:val="single" w:color="auto" w:sz="4" w:space="0"/>
              <w:right w:val="single" w:color="auto" w:sz="4" w:space="0"/>
            </w:tcBorders>
            <w:shd w:val="clear" w:color="auto" w:fill="BDD6EE" w:themeFill="accent1" w:themeFillTint="66"/>
            <w:vAlign w:val="center"/>
          </w:tcPr>
          <w:p>
            <w:pPr>
              <w:spacing w:line="240" w:lineRule="exact"/>
              <w:jc w:val="both"/>
              <w:rPr>
                <w:rFonts w:asciiTheme="minorEastAsia" w:hAnsiTheme="minorEastAsia" w:eastAsiaTheme="minorEastAsia" w:cstheme="minorEastAsia"/>
                <w:sz w:val="18"/>
                <w:szCs w:val="18"/>
              </w:rPr>
            </w:pPr>
          </w:p>
        </w:tc>
        <w:tc>
          <w:tcPr>
            <w:tcW w:w="645" w:type="dxa"/>
            <w:vMerge w:val="restart"/>
            <w:tcBorders>
              <w:top w:val="single" w:color="auto" w:sz="4" w:space="0"/>
              <w:left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hint="eastAsia" w:ascii="方正兰亭黑_GBK" w:hAnsi="方正兰亭黑_GBK" w:eastAsia="方正兰亭黑_GBK" w:cs="方正兰亭黑_GBK"/>
                <w:color w:val="000000"/>
                <w:sz w:val="18"/>
                <w:szCs w:val="18"/>
              </w:rPr>
              <w:t>企业协作</w:t>
            </w:r>
          </w:p>
        </w:tc>
        <w:tc>
          <w:tcPr>
            <w:tcW w:w="990" w:type="dxa"/>
            <w:vMerge w:val="restart"/>
            <w:tcBorders>
              <w:top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企业入驻</w:t>
            </w:r>
          </w:p>
        </w:tc>
        <w:tc>
          <w:tcPr>
            <w:tcW w:w="4578" w:type="dxa"/>
            <w:tcBorders>
              <w:top w:val="single" w:color="auto" w:sz="4" w:space="0"/>
              <w:bottom w:val="single" w:color="auto" w:sz="4" w:space="0"/>
            </w:tcBorders>
            <w:shd w:val="clear" w:color="auto" w:fill="DEEBF6" w:themeFill="accent1" w:themeFillTint="32"/>
            <w:vAlign w:val="center"/>
          </w:tcPr>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招引领域：简餐、饮品、娱乐、健身、交通等现代物流大厦生活配套设施</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招引对象：生活配套设施提供方</w:t>
            </w:r>
          </w:p>
        </w:tc>
        <w:tc>
          <w:tcPr>
            <w:tcW w:w="851" w:type="dxa"/>
            <w:vMerge w:val="restart"/>
            <w:tcBorders>
              <w:top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成都</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现代</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物流</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投资</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发展</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有限</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公司</w:t>
            </w:r>
          </w:p>
        </w:tc>
        <w:tc>
          <w:tcPr>
            <w:tcW w:w="796" w:type="dxa"/>
            <w:vMerge w:val="restart"/>
            <w:tcBorders>
              <w:top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赖永</w:t>
            </w:r>
          </w:p>
        </w:tc>
        <w:tc>
          <w:tcPr>
            <w:tcW w:w="1262" w:type="dxa"/>
            <w:vMerge w:val="restart"/>
            <w:tcBorders>
              <w:top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pacing w:val="-6"/>
                <w:sz w:val="18"/>
                <w:szCs w:val="18"/>
                <w:lang w:val="en-US" w:eastAsia="zh-CN"/>
              </w:rPr>
              <w:t>028-</w:t>
            </w:r>
            <w:r>
              <w:rPr>
                <w:rFonts w:asciiTheme="minorEastAsia" w:hAnsiTheme="minorEastAsia" w:eastAsiaTheme="minorEastAsia" w:cstheme="minorEastAsia"/>
                <w:spacing w:val="-6"/>
                <w:sz w:val="18"/>
                <w:szCs w:val="18"/>
              </w:rPr>
              <w:t>89339093</w:t>
            </w:r>
          </w:p>
        </w:tc>
        <w:tc>
          <w:tcPr>
            <w:tcW w:w="975" w:type="dxa"/>
            <w:vMerge w:val="restart"/>
            <w:tcBorders>
              <w:top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长期有效</w:t>
            </w:r>
          </w:p>
        </w:tc>
        <w:tc>
          <w:tcPr>
            <w:tcW w:w="779" w:type="dxa"/>
            <w:vMerge w:val="continue"/>
            <w:tcBorders>
              <w:right w:val="single" w:color="auto" w:sz="4" w:space="0"/>
            </w:tcBorders>
            <w:shd w:val="clear" w:color="auto" w:fill="DEEBF6" w:themeFill="accent1" w:themeFillTint="32"/>
            <w:vAlign w:val="center"/>
          </w:tcPr>
          <w:p>
            <w:pPr>
              <w:spacing w:line="240" w:lineRule="exact"/>
              <w:jc w:val="center"/>
              <w:rPr>
                <w:rFonts w:hint="eastAsia" w:ascii="方正兰亭黑_GBK" w:hAnsi="方正兰亭黑_GBK" w:eastAsia="方正兰亭黑_GBK" w:cs="方正兰亭黑_GBK"/>
                <w:color w:val="00000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90" w:hRule="atLeast"/>
        </w:trPr>
        <w:tc>
          <w:tcPr>
            <w:tcW w:w="1248" w:type="dxa"/>
            <w:vMerge w:val="continue"/>
            <w:tcBorders>
              <w:left w:val="single" w:color="auto" w:sz="4" w:space="0"/>
              <w:bottom w:val="single" w:color="auto" w:sz="4" w:space="0"/>
              <w:right w:val="single" w:color="auto" w:sz="4" w:space="0"/>
            </w:tcBorders>
            <w:shd w:val="clear" w:color="auto" w:fill="9CC2E5" w:themeFill="accent1" w:themeFillTint="99"/>
            <w:vAlign w:val="center"/>
          </w:tcPr>
          <w:p>
            <w:pPr>
              <w:spacing w:line="240" w:lineRule="exact"/>
              <w:jc w:val="center"/>
              <w:rPr>
                <w:rFonts w:hint="eastAsia" w:ascii="方正兰亭黑_GBK" w:hAnsi="方正兰亭黑_GBK" w:eastAsia="方正兰亭黑_GBK" w:cs="方正兰亭黑_GBK"/>
                <w:sz w:val="18"/>
                <w:szCs w:val="18"/>
              </w:rPr>
            </w:pPr>
          </w:p>
        </w:tc>
        <w:tc>
          <w:tcPr>
            <w:tcW w:w="2178" w:type="dxa"/>
            <w:vMerge w:val="continue"/>
            <w:tcBorders>
              <w:left w:val="single" w:color="auto" w:sz="4" w:space="0"/>
              <w:bottom w:val="single" w:color="auto" w:sz="4" w:space="0"/>
              <w:right w:val="single" w:color="auto" w:sz="4" w:space="0"/>
            </w:tcBorders>
            <w:shd w:val="clear" w:color="auto" w:fill="BDD6EE" w:themeFill="accent1" w:themeFillTint="66"/>
            <w:vAlign w:val="center"/>
          </w:tcPr>
          <w:p>
            <w:pPr>
              <w:spacing w:line="240" w:lineRule="exact"/>
              <w:jc w:val="both"/>
              <w:rPr>
                <w:rFonts w:asciiTheme="minorEastAsia" w:hAnsiTheme="minorEastAsia" w:eastAsiaTheme="minorEastAsia" w:cstheme="minorEastAsia"/>
                <w:sz w:val="18"/>
                <w:szCs w:val="18"/>
              </w:rPr>
            </w:pPr>
          </w:p>
        </w:tc>
        <w:tc>
          <w:tcPr>
            <w:tcW w:w="645" w:type="dxa"/>
            <w:vMerge w:val="continue"/>
            <w:tcBorders>
              <w:left w:val="single" w:color="auto" w:sz="4" w:space="0"/>
              <w:bottom w:val="single" w:color="auto" w:sz="4" w:space="0"/>
            </w:tcBorders>
            <w:shd w:val="clear" w:color="auto" w:fill="DEEBF6" w:themeFill="accent1" w:themeFillTint="32"/>
            <w:vAlign w:val="center"/>
          </w:tcPr>
          <w:p>
            <w:pPr>
              <w:spacing w:line="240" w:lineRule="exact"/>
              <w:rPr>
                <w:rFonts w:asciiTheme="minorEastAsia" w:hAnsiTheme="minorEastAsia" w:eastAsiaTheme="minorEastAsia" w:cstheme="minorEastAsia"/>
                <w:sz w:val="18"/>
                <w:szCs w:val="18"/>
              </w:rPr>
            </w:pPr>
          </w:p>
        </w:tc>
        <w:tc>
          <w:tcPr>
            <w:tcW w:w="990" w:type="dxa"/>
            <w:vMerge w:val="continue"/>
            <w:tcBorders>
              <w:bottom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p>
        </w:tc>
        <w:tc>
          <w:tcPr>
            <w:tcW w:w="4578" w:type="dxa"/>
            <w:tcBorders>
              <w:top w:val="single" w:color="auto" w:sz="4" w:space="0"/>
              <w:bottom w:val="single" w:color="auto" w:sz="4" w:space="0"/>
            </w:tcBorders>
            <w:shd w:val="clear" w:color="auto" w:fill="DEEBF6" w:themeFill="accent1" w:themeFillTint="32"/>
            <w:vAlign w:val="center"/>
          </w:tcPr>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招引领域：简餐、饮品等“一带一路”国家馆集群生活配套设施</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招引对象：生活配套设施提供方</w:t>
            </w:r>
          </w:p>
        </w:tc>
        <w:tc>
          <w:tcPr>
            <w:tcW w:w="851" w:type="dxa"/>
            <w:vMerge w:val="continue"/>
            <w:tcBorders>
              <w:bottom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p>
        </w:tc>
        <w:tc>
          <w:tcPr>
            <w:tcW w:w="796" w:type="dxa"/>
            <w:vMerge w:val="continue"/>
            <w:tcBorders>
              <w:bottom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p>
        </w:tc>
        <w:tc>
          <w:tcPr>
            <w:tcW w:w="1262" w:type="dxa"/>
            <w:vMerge w:val="continue"/>
            <w:tcBorders>
              <w:bottom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p>
        </w:tc>
        <w:tc>
          <w:tcPr>
            <w:tcW w:w="975" w:type="dxa"/>
            <w:vMerge w:val="continue"/>
            <w:tcBorders>
              <w:bottom w:val="single" w:color="auto" w:sz="4" w:space="0"/>
            </w:tcBorders>
            <w:shd w:val="clear" w:color="auto" w:fill="DEEBF6" w:themeFill="accent1" w:themeFillTint="32"/>
            <w:vAlign w:val="center"/>
          </w:tcPr>
          <w:p>
            <w:pPr>
              <w:spacing w:line="240" w:lineRule="exact"/>
              <w:jc w:val="center"/>
              <w:rPr>
                <w:rFonts w:asciiTheme="minorEastAsia" w:hAnsiTheme="minorEastAsia" w:eastAsiaTheme="minorEastAsia" w:cstheme="minorEastAsia"/>
                <w:sz w:val="18"/>
                <w:szCs w:val="18"/>
              </w:rPr>
            </w:pPr>
          </w:p>
        </w:tc>
        <w:tc>
          <w:tcPr>
            <w:tcW w:w="779" w:type="dxa"/>
            <w:vMerge w:val="continue"/>
            <w:tcBorders>
              <w:bottom w:val="single" w:color="auto" w:sz="4" w:space="0"/>
              <w:right w:val="single" w:color="auto" w:sz="4" w:space="0"/>
            </w:tcBorders>
            <w:shd w:val="clear" w:color="auto" w:fill="DEEBF6" w:themeFill="accent1" w:themeFillTint="32"/>
            <w:vAlign w:val="center"/>
          </w:tcPr>
          <w:p>
            <w:pPr>
              <w:spacing w:line="240" w:lineRule="exact"/>
              <w:jc w:val="center"/>
              <w:rPr>
                <w:rFonts w:hint="eastAsia" w:ascii="方正兰亭黑_GBK" w:hAnsi="方正兰亭黑_GBK" w:eastAsia="方正兰亭黑_GBK" w:cs="方正兰亭黑_GBK"/>
                <w:color w:val="00000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1714" w:hRule="atLeast"/>
        </w:trPr>
        <w:tc>
          <w:tcPr>
            <w:tcW w:w="1248" w:type="dxa"/>
            <w:vMerge w:val="restart"/>
            <w:tcBorders>
              <w:top w:val="single" w:color="auto" w:sz="4" w:space="0"/>
              <w:left w:val="single" w:color="auto" w:sz="4" w:space="0"/>
              <w:right w:val="single" w:color="auto" w:sz="4" w:space="0"/>
            </w:tcBorders>
            <w:shd w:val="clear" w:color="auto" w:fill="FFD965" w:themeFill="accent4" w:themeFillTint="99"/>
            <w:vAlign w:val="center"/>
          </w:tcPr>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大宗商品</w:t>
            </w:r>
          </w:p>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供应链</w:t>
            </w:r>
          </w:p>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一站式</w:t>
            </w:r>
          </w:p>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服务平台</w:t>
            </w:r>
          </w:p>
          <w:p>
            <w:pPr>
              <w:spacing w:line="240" w:lineRule="exact"/>
              <w:jc w:val="center"/>
              <w:rPr>
                <w:rFonts w:hint="eastAsia" w:ascii="方正兰亭黑_GBK" w:hAnsi="方正兰亭黑_GBK" w:eastAsia="方正兰亭黑_GBK" w:cs="方正兰亭黑_GBK"/>
                <w:sz w:val="18"/>
                <w:szCs w:val="18"/>
              </w:rPr>
            </w:pPr>
            <w:r>
              <w:rPr>
                <w:rFonts w:hint="eastAsia" w:ascii="方正兰亭黑_GBK" w:hAnsi="方正兰亭黑_GBK" w:eastAsia="方正兰亭黑_GBK" w:cs="方正兰亭黑_GBK"/>
                <w:color w:val="000000"/>
                <w:sz w:val="15"/>
                <w:szCs w:val="15"/>
              </w:rPr>
              <w:t>（成都青白江）</w:t>
            </w:r>
          </w:p>
        </w:tc>
        <w:tc>
          <w:tcPr>
            <w:tcW w:w="2178" w:type="dxa"/>
            <w:vMerge w:val="restart"/>
            <w:tcBorders>
              <w:top w:val="single" w:color="auto" w:sz="4" w:space="0"/>
              <w:left w:val="single" w:color="auto" w:sz="4" w:space="0"/>
              <w:right w:val="single" w:color="auto" w:sz="4" w:space="0"/>
            </w:tcBorders>
            <w:shd w:val="clear" w:color="auto" w:fill="FFE599" w:themeFill="accent4" w:themeFillTint="66"/>
            <w:vAlign w:val="center"/>
          </w:tcPr>
          <w:p>
            <w:pPr>
              <w:spacing w:line="240" w:lineRule="exact"/>
              <w:jc w:val="both"/>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大宗商品交易平台打造集商品交易、供应链管理于一体，实现商品流、货物流、资金流、信息流四流合一的线上化闭环产业链系统。通过整合农产品、矿产、工业产品、进口商品等可交易商品，链接五大行等金融系统实现金融交易，解决交易、金融、物流信息线上化、一体化运作问题</w:t>
            </w:r>
            <w:r>
              <w:rPr>
                <w:rFonts w:hint="eastAsia" w:asciiTheme="minorEastAsia" w:hAnsiTheme="minorEastAsia" w:eastAsiaTheme="minorEastAsia" w:cstheme="minorEastAsia"/>
                <w:sz w:val="18"/>
                <w:szCs w:val="18"/>
                <w:lang w:eastAsia="zh-CN"/>
              </w:rPr>
              <w:t>。同时引入</w:t>
            </w:r>
            <w:r>
              <w:rPr>
                <w:rFonts w:hint="eastAsia" w:asciiTheme="minorEastAsia" w:hAnsiTheme="minorEastAsia" w:eastAsiaTheme="minorEastAsia" w:cstheme="minorEastAsia"/>
                <w:sz w:val="18"/>
                <w:szCs w:val="18"/>
              </w:rPr>
              <w:t>专业平台运营和系统运营人才，为交易双方提供优质、快捷、安全的服务。平台建成后将填补青白江区大宗交易平台的空白，打造城市名片，通过降低经营成本帮助企业与客户、供货商与合作伙伴建立更为密切的合作关系</w:t>
            </w:r>
          </w:p>
        </w:tc>
        <w:tc>
          <w:tcPr>
            <w:tcW w:w="645" w:type="dxa"/>
            <w:vMerge w:val="restart"/>
            <w:tcBorders>
              <w:top w:val="single" w:color="auto" w:sz="4" w:space="0"/>
              <w:left w:val="single" w:color="auto" w:sz="4" w:space="0"/>
            </w:tcBorders>
            <w:shd w:val="clear" w:color="auto" w:fill="FEF2CC" w:themeFill="accent4" w:themeFillTint="33"/>
            <w:vAlign w:val="center"/>
          </w:tcPr>
          <w:p>
            <w:pPr>
              <w:spacing w:line="240" w:lineRule="exact"/>
              <w:jc w:val="center"/>
              <w:rPr>
                <w:rFonts w:asciiTheme="minorEastAsia" w:hAnsiTheme="minorEastAsia" w:eastAsiaTheme="minorEastAsia" w:cstheme="minorEastAsia"/>
                <w:sz w:val="18"/>
                <w:szCs w:val="18"/>
              </w:rPr>
            </w:pPr>
            <w:r>
              <w:rPr>
                <w:rFonts w:ascii="方正兰亭黑_GBK" w:hAnsi="方正兰亭黑_GBK" w:eastAsia="方正兰亭黑_GBK" w:cs="方正兰亭黑_GBK"/>
                <w:color w:val="000000"/>
                <w:sz w:val="18"/>
                <w:szCs w:val="18"/>
              </w:rPr>
              <w:t>人才需求</w:t>
            </w:r>
          </w:p>
        </w:tc>
        <w:tc>
          <w:tcPr>
            <w:tcW w:w="990" w:type="dxa"/>
            <w:tcBorders>
              <w:top w:val="single" w:color="auto" w:sz="4" w:space="0"/>
              <w:bottom w:val="single" w:color="auto" w:sz="4" w:space="0"/>
            </w:tcBorders>
            <w:shd w:val="clear" w:color="auto" w:fill="FEF2CC" w:themeFill="accent4" w:themeFillTint="33"/>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系统维护人员</w:t>
            </w:r>
          </w:p>
        </w:tc>
        <w:tc>
          <w:tcPr>
            <w:tcW w:w="4578" w:type="dxa"/>
            <w:tcBorders>
              <w:top w:val="single" w:color="auto" w:sz="4" w:space="0"/>
              <w:bottom w:val="single" w:color="auto" w:sz="4" w:space="0"/>
            </w:tcBorders>
            <w:shd w:val="clear" w:color="auto" w:fill="FEF2CC" w:themeFill="accent4" w:themeFillTint="33"/>
            <w:vAlign w:val="center"/>
          </w:tcPr>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专业要求：计算机及相关专业，统招本科以上学历</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资历要求：三年以上平台开发工作经验</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能力要求：精通编程及计算机相关技术，熟练运用Ajax、HTML、JAVA等相关技术</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招聘数量：不定</w:t>
            </w:r>
          </w:p>
        </w:tc>
        <w:tc>
          <w:tcPr>
            <w:tcW w:w="851" w:type="dxa"/>
            <w:vMerge w:val="restart"/>
            <w:tcBorders>
              <w:top w:val="single" w:color="auto" w:sz="4" w:space="0"/>
            </w:tcBorders>
            <w:shd w:val="clear" w:color="auto" w:fill="FEF2CC" w:themeFill="accent4" w:themeFillTint="33"/>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成都</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国际</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铁路港投资</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发展</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有限</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公司</w:t>
            </w:r>
          </w:p>
        </w:tc>
        <w:tc>
          <w:tcPr>
            <w:tcW w:w="796" w:type="dxa"/>
            <w:vMerge w:val="restart"/>
            <w:tcBorders>
              <w:top w:val="single" w:color="auto" w:sz="4" w:space="0"/>
            </w:tcBorders>
            <w:shd w:val="clear" w:color="auto" w:fill="FEF2CC" w:themeFill="accent4" w:themeFillTint="33"/>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龚庆</w:t>
            </w:r>
          </w:p>
        </w:tc>
        <w:tc>
          <w:tcPr>
            <w:tcW w:w="1262" w:type="dxa"/>
            <w:vMerge w:val="restart"/>
            <w:tcBorders>
              <w:top w:val="single" w:color="auto" w:sz="4" w:space="0"/>
            </w:tcBorders>
            <w:shd w:val="clear" w:color="auto" w:fill="FEF2CC" w:themeFill="accent4" w:themeFillTint="33"/>
            <w:vAlign w:val="center"/>
          </w:tcPr>
          <w:p>
            <w:pPr>
              <w:spacing w:line="24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pacing w:val="-6"/>
                <w:sz w:val="18"/>
                <w:szCs w:val="18"/>
                <w:lang w:val="en-US" w:eastAsia="zh-CN"/>
              </w:rPr>
              <w:t>028-</w:t>
            </w:r>
            <w:r>
              <w:rPr>
                <w:rFonts w:asciiTheme="minorEastAsia" w:hAnsiTheme="minorEastAsia" w:eastAsiaTheme="minorEastAsia" w:cstheme="minorEastAsia"/>
                <w:spacing w:val="-6"/>
                <w:sz w:val="18"/>
                <w:szCs w:val="18"/>
              </w:rPr>
              <w:t>89339097</w:t>
            </w:r>
          </w:p>
        </w:tc>
        <w:tc>
          <w:tcPr>
            <w:tcW w:w="975" w:type="dxa"/>
            <w:vMerge w:val="restart"/>
            <w:tcBorders>
              <w:top w:val="single" w:color="auto" w:sz="4" w:space="0"/>
            </w:tcBorders>
            <w:shd w:val="clear" w:color="auto" w:fill="FEF2CC" w:themeFill="accent4" w:themeFillTint="33"/>
            <w:vAlign w:val="center"/>
          </w:tcPr>
          <w:p>
            <w:pPr>
              <w:spacing w:line="240" w:lineRule="exact"/>
              <w:jc w:val="center"/>
              <w:rPr>
                <w:rFonts w:hint="default" w:asciiTheme="minorEastAsia" w:hAnsiTheme="minorEastAsia" w:eastAsiaTheme="minorEastAsia" w:cstheme="minorEastAsia"/>
                <w:sz w:val="18"/>
                <w:szCs w:val="18"/>
                <w:lang w:val="en-US" w:eastAsia="zh-CN"/>
              </w:rPr>
            </w:pPr>
            <w:r>
              <w:rPr>
                <w:rFonts w:asciiTheme="minorEastAsia" w:hAnsiTheme="minorEastAsia" w:eastAsiaTheme="minorEastAsia" w:cstheme="minorEastAsia"/>
                <w:sz w:val="18"/>
                <w:szCs w:val="18"/>
              </w:rPr>
              <w:t>2019.</w:t>
            </w:r>
            <w:r>
              <w:rPr>
                <w:rFonts w:hint="eastAsia" w:asciiTheme="minorEastAsia" w:hAnsiTheme="minorEastAsia" w:eastAsiaTheme="minorEastAsia" w:cstheme="minorEastAsia"/>
                <w:sz w:val="18"/>
                <w:szCs w:val="18"/>
              </w:rPr>
              <w:t>10</w:t>
            </w:r>
            <w:r>
              <w:rPr>
                <w:rFonts w:hint="eastAsia" w:asciiTheme="minorEastAsia" w:hAnsiTheme="minorEastAsia" w:eastAsiaTheme="minorEastAsia" w:cstheme="minorEastAsia"/>
                <w:sz w:val="18"/>
                <w:szCs w:val="18"/>
                <w:lang w:val="en-US" w:eastAsia="zh-CN"/>
              </w:rPr>
              <w:t>-11</w:t>
            </w:r>
          </w:p>
        </w:tc>
        <w:tc>
          <w:tcPr>
            <w:tcW w:w="779" w:type="dxa"/>
            <w:vMerge w:val="restart"/>
            <w:tcBorders>
              <w:top w:val="single" w:color="auto" w:sz="4" w:space="0"/>
              <w:right w:val="single" w:color="auto" w:sz="4" w:space="0"/>
            </w:tcBorders>
            <w:shd w:val="clear" w:color="auto" w:fill="FEF2CC" w:themeFill="accent4" w:themeFillTint="33"/>
            <w:vAlign w:val="center"/>
          </w:tcPr>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临港</w:t>
            </w:r>
          </w:p>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服务业功能区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575" w:hRule="atLeast"/>
        </w:trPr>
        <w:tc>
          <w:tcPr>
            <w:tcW w:w="1248" w:type="dxa"/>
            <w:vMerge w:val="continue"/>
            <w:tcBorders>
              <w:left w:val="single" w:color="auto" w:sz="4" w:space="0"/>
              <w:right w:val="single" w:color="auto" w:sz="4" w:space="0"/>
            </w:tcBorders>
            <w:shd w:val="clear" w:color="auto" w:fill="FFD965" w:themeFill="accent4" w:themeFillTint="99"/>
            <w:vAlign w:val="center"/>
          </w:tcPr>
          <w:p>
            <w:pPr>
              <w:spacing w:line="240" w:lineRule="exact"/>
              <w:jc w:val="center"/>
              <w:rPr>
                <w:rFonts w:hint="eastAsia" w:ascii="方正兰亭黑_GBK" w:hAnsi="方正兰亭黑_GBK" w:eastAsia="方正兰亭黑_GBK" w:cs="方正兰亭黑_GBK"/>
                <w:sz w:val="18"/>
                <w:szCs w:val="18"/>
              </w:rPr>
            </w:pPr>
          </w:p>
        </w:tc>
        <w:tc>
          <w:tcPr>
            <w:tcW w:w="2178" w:type="dxa"/>
            <w:vMerge w:val="continue"/>
            <w:tcBorders>
              <w:left w:val="single" w:color="auto" w:sz="4" w:space="0"/>
              <w:right w:val="single" w:color="auto" w:sz="4" w:space="0"/>
            </w:tcBorders>
            <w:shd w:val="clear" w:color="auto" w:fill="FFE599" w:themeFill="accent4" w:themeFillTint="66"/>
            <w:vAlign w:val="center"/>
          </w:tcPr>
          <w:p>
            <w:pPr>
              <w:spacing w:line="240" w:lineRule="exact"/>
              <w:jc w:val="both"/>
              <w:rPr>
                <w:rFonts w:asciiTheme="minorEastAsia" w:hAnsiTheme="minorEastAsia" w:eastAsiaTheme="minorEastAsia" w:cstheme="minorEastAsia"/>
                <w:sz w:val="18"/>
                <w:szCs w:val="18"/>
              </w:rPr>
            </w:pPr>
          </w:p>
        </w:tc>
        <w:tc>
          <w:tcPr>
            <w:tcW w:w="645" w:type="dxa"/>
            <w:vMerge w:val="continue"/>
            <w:tcBorders>
              <w:left w:val="single" w:color="auto" w:sz="4" w:space="0"/>
              <w:bottom w:val="single" w:color="auto" w:sz="4" w:space="0"/>
            </w:tcBorders>
            <w:shd w:val="clear" w:color="auto" w:fill="FEF2CC" w:themeFill="accent4" w:themeFillTint="33"/>
            <w:vAlign w:val="center"/>
          </w:tcPr>
          <w:p>
            <w:pPr>
              <w:spacing w:line="240" w:lineRule="exact"/>
              <w:rPr>
                <w:rFonts w:asciiTheme="minorEastAsia" w:hAnsiTheme="minorEastAsia" w:eastAsiaTheme="minorEastAsia" w:cstheme="minorEastAsia"/>
                <w:sz w:val="18"/>
                <w:szCs w:val="18"/>
              </w:rPr>
            </w:pPr>
          </w:p>
        </w:tc>
        <w:tc>
          <w:tcPr>
            <w:tcW w:w="990" w:type="dxa"/>
            <w:tcBorders>
              <w:top w:val="single" w:color="auto" w:sz="4" w:space="0"/>
              <w:bottom w:val="single" w:color="auto" w:sz="4" w:space="0"/>
            </w:tcBorders>
            <w:shd w:val="clear" w:color="auto" w:fill="FEF2CC" w:themeFill="accent4" w:themeFillTint="33"/>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平台运营人员</w:t>
            </w:r>
          </w:p>
        </w:tc>
        <w:tc>
          <w:tcPr>
            <w:tcW w:w="4578" w:type="dxa"/>
            <w:tcBorders>
              <w:top w:val="single" w:color="auto" w:sz="4" w:space="0"/>
              <w:bottom w:val="single" w:color="auto" w:sz="4" w:space="0"/>
            </w:tcBorders>
            <w:shd w:val="clear" w:color="auto" w:fill="FEF2CC" w:themeFill="accent4" w:themeFillTint="33"/>
            <w:vAlign w:val="center"/>
          </w:tcPr>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专业要求：金融、市场营销及相关专业，统招本科以上学历</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资历要求：有两年以上大宗商品服务平台运营相关工作经验</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能力要求：具有较强业务分析能力、业务推动能力、协调沟通能力</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招聘数量：不定</w:t>
            </w:r>
          </w:p>
        </w:tc>
        <w:tc>
          <w:tcPr>
            <w:tcW w:w="851" w:type="dxa"/>
            <w:vMerge w:val="continue"/>
            <w:tcBorders>
              <w:bottom w:val="single" w:color="auto" w:sz="4" w:space="0"/>
            </w:tcBorders>
            <w:shd w:val="clear" w:color="auto" w:fill="FEF2CC" w:themeFill="accent4" w:themeFillTint="33"/>
            <w:vAlign w:val="center"/>
          </w:tcPr>
          <w:p>
            <w:pPr>
              <w:spacing w:line="240" w:lineRule="exact"/>
              <w:jc w:val="center"/>
              <w:rPr>
                <w:rFonts w:asciiTheme="minorEastAsia" w:hAnsiTheme="minorEastAsia" w:eastAsiaTheme="minorEastAsia" w:cstheme="minorEastAsia"/>
                <w:sz w:val="18"/>
                <w:szCs w:val="18"/>
              </w:rPr>
            </w:pPr>
          </w:p>
        </w:tc>
        <w:tc>
          <w:tcPr>
            <w:tcW w:w="796" w:type="dxa"/>
            <w:vMerge w:val="continue"/>
            <w:tcBorders>
              <w:bottom w:val="single" w:color="auto" w:sz="4" w:space="0"/>
            </w:tcBorders>
            <w:shd w:val="clear" w:color="auto" w:fill="FEF2CC" w:themeFill="accent4" w:themeFillTint="33"/>
            <w:vAlign w:val="center"/>
          </w:tcPr>
          <w:p>
            <w:pPr>
              <w:spacing w:line="240" w:lineRule="exact"/>
              <w:jc w:val="center"/>
              <w:rPr>
                <w:rFonts w:asciiTheme="minorEastAsia" w:hAnsiTheme="minorEastAsia" w:eastAsiaTheme="minorEastAsia" w:cstheme="minorEastAsia"/>
                <w:sz w:val="18"/>
                <w:szCs w:val="18"/>
              </w:rPr>
            </w:pPr>
          </w:p>
        </w:tc>
        <w:tc>
          <w:tcPr>
            <w:tcW w:w="1262" w:type="dxa"/>
            <w:vMerge w:val="continue"/>
            <w:tcBorders>
              <w:bottom w:val="single" w:color="auto" w:sz="4" w:space="0"/>
            </w:tcBorders>
            <w:shd w:val="clear" w:color="auto" w:fill="FEF2CC" w:themeFill="accent4" w:themeFillTint="33"/>
            <w:vAlign w:val="center"/>
          </w:tcPr>
          <w:p>
            <w:pPr>
              <w:spacing w:line="240" w:lineRule="exact"/>
              <w:rPr>
                <w:rFonts w:asciiTheme="minorEastAsia" w:hAnsiTheme="minorEastAsia" w:eastAsiaTheme="minorEastAsia" w:cstheme="minorEastAsia"/>
                <w:sz w:val="18"/>
                <w:szCs w:val="18"/>
              </w:rPr>
            </w:pPr>
          </w:p>
        </w:tc>
        <w:tc>
          <w:tcPr>
            <w:tcW w:w="975" w:type="dxa"/>
            <w:vMerge w:val="continue"/>
            <w:tcBorders>
              <w:bottom w:val="single" w:color="auto" w:sz="4" w:space="0"/>
            </w:tcBorders>
            <w:shd w:val="clear" w:color="auto" w:fill="FEF2CC" w:themeFill="accent4" w:themeFillTint="33"/>
            <w:vAlign w:val="center"/>
          </w:tcPr>
          <w:p>
            <w:pPr>
              <w:spacing w:line="240" w:lineRule="exact"/>
              <w:rPr>
                <w:rFonts w:asciiTheme="minorEastAsia" w:hAnsiTheme="minorEastAsia" w:eastAsiaTheme="minorEastAsia" w:cstheme="minorEastAsia"/>
                <w:sz w:val="18"/>
                <w:szCs w:val="18"/>
              </w:rPr>
            </w:pPr>
          </w:p>
        </w:tc>
        <w:tc>
          <w:tcPr>
            <w:tcW w:w="779" w:type="dxa"/>
            <w:vMerge w:val="continue"/>
            <w:tcBorders>
              <w:bottom w:val="single" w:color="auto" w:sz="4" w:space="0"/>
              <w:right w:val="single" w:color="auto" w:sz="4" w:space="0"/>
            </w:tcBorders>
            <w:shd w:val="clear" w:color="auto" w:fill="FEF2CC" w:themeFill="accent4" w:themeFillTint="33"/>
            <w:vAlign w:val="center"/>
          </w:tcPr>
          <w:p>
            <w:pPr>
              <w:spacing w:line="240" w:lineRule="exact"/>
              <w:jc w:val="center"/>
              <w:rPr>
                <w:rFonts w:hint="eastAsia" w:ascii="方正兰亭黑_GBK" w:hAnsi="方正兰亭黑_GBK" w:eastAsia="方正兰亭黑_GBK" w:cs="方正兰亭黑_GBK"/>
                <w:color w:val="00000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1811" w:hRule="atLeast"/>
        </w:trPr>
        <w:tc>
          <w:tcPr>
            <w:tcW w:w="1248" w:type="dxa"/>
            <w:tcBorders>
              <w:left w:val="single" w:color="auto" w:sz="4" w:space="0"/>
              <w:bottom w:val="single" w:color="auto" w:sz="4" w:space="0"/>
              <w:right w:val="single" w:color="auto" w:sz="4" w:space="0"/>
            </w:tcBorders>
            <w:shd w:val="clear" w:color="auto" w:fill="FFD965" w:themeFill="accent4" w:themeFillTint="99"/>
            <w:vAlign w:val="center"/>
          </w:tcPr>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大宗商品</w:t>
            </w:r>
          </w:p>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供应链</w:t>
            </w:r>
          </w:p>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一站式</w:t>
            </w:r>
          </w:p>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服务平台</w:t>
            </w:r>
          </w:p>
          <w:p>
            <w:pPr>
              <w:spacing w:line="240" w:lineRule="exact"/>
              <w:jc w:val="center"/>
              <w:rPr>
                <w:rFonts w:hint="eastAsia" w:ascii="方正兰亭黑_GBK" w:hAnsi="方正兰亭黑_GBK" w:eastAsia="方正兰亭黑_GBK" w:cs="方正兰亭黑_GBK"/>
                <w:sz w:val="18"/>
                <w:szCs w:val="18"/>
              </w:rPr>
            </w:pPr>
            <w:r>
              <w:rPr>
                <w:rFonts w:hint="eastAsia" w:ascii="方正兰亭黑_GBK" w:hAnsi="方正兰亭黑_GBK" w:eastAsia="方正兰亭黑_GBK" w:cs="方正兰亭黑_GBK"/>
                <w:color w:val="000000"/>
                <w:sz w:val="15"/>
                <w:szCs w:val="15"/>
              </w:rPr>
              <w:t>（成都青白江）</w:t>
            </w:r>
          </w:p>
        </w:tc>
        <w:tc>
          <w:tcPr>
            <w:tcW w:w="2178" w:type="dxa"/>
            <w:vMerge w:val="continue"/>
            <w:tcBorders>
              <w:left w:val="single" w:color="auto" w:sz="4" w:space="0"/>
              <w:bottom w:val="single" w:color="auto" w:sz="4" w:space="0"/>
              <w:right w:val="single" w:color="auto" w:sz="4" w:space="0"/>
            </w:tcBorders>
            <w:shd w:val="clear" w:color="auto" w:fill="FFE599" w:themeFill="accent4" w:themeFillTint="66"/>
            <w:vAlign w:val="center"/>
          </w:tcPr>
          <w:p>
            <w:pPr>
              <w:spacing w:line="240" w:lineRule="exact"/>
              <w:jc w:val="both"/>
              <w:rPr>
                <w:rFonts w:asciiTheme="minorEastAsia" w:hAnsiTheme="minorEastAsia" w:eastAsiaTheme="minorEastAsia" w:cstheme="minorEastAsia"/>
                <w:sz w:val="18"/>
                <w:szCs w:val="18"/>
              </w:rPr>
            </w:pPr>
          </w:p>
        </w:tc>
        <w:tc>
          <w:tcPr>
            <w:tcW w:w="645" w:type="dxa"/>
            <w:tcBorders>
              <w:top w:val="single" w:color="auto" w:sz="4" w:space="0"/>
              <w:left w:val="single" w:color="auto" w:sz="4" w:space="0"/>
              <w:bottom w:val="single" w:color="auto" w:sz="4" w:space="0"/>
            </w:tcBorders>
            <w:shd w:val="clear" w:color="auto" w:fill="FEF2CC" w:themeFill="accent4" w:themeFillTint="33"/>
            <w:vAlign w:val="center"/>
          </w:tcPr>
          <w:p>
            <w:pPr>
              <w:spacing w:line="240" w:lineRule="exact"/>
              <w:jc w:val="center"/>
              <w:rPr>
                <w:rFonts w:asciiTheme="minorEastAsia" w:hAnsiTheme="minorEastAsia" w:eastAsiaTheme="minorEastAsia" w:cstheme="minorEastAsia"/>
                <w:sz w:val="18"/>
                <w:szCs w:val="18"/>
              </w:rPr>
            </w:pPr>
            <w:r>
              <w:rPr>
                <w:rFonts w:ascii="方正兰亭黑_GBK" w:hAnsi="方正兰亭黑_GBK" w:eastAsia="方正兰亭黑_GBK" w:cs="方正兰亭黑_GBK"/>
                <w:color w:val="000000"/>
                <w:sz w:val="18"/>
                <w:szCs w:val="18"/>
              </w:rPr>
              <w:t>企业协作</w:t>
            </w:r>
          </w:p>
        </w:tc>
        <w:tc>
          <w:tcPr>
            <w:tcW w:w="990" w:type="dxa"/>
            <w:tcBorders>
              <w:top w:val="single" w:color="auto" w:sz="4" w:space="0"/>
              <w:bottom w:val="single" w:color="auto" w:sz="4" w:space="0"/>
            </w:tcBorders>
            <w:shd w:val="clear" w:color="auto" w:fill="FEF2CC" w:themeFill="accent4" w:themeFillTint="33"/>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平台运营合作</w:t>
            </w:r>
          </w:p>
        </w:tc>
        <w:tc>
          <w:tcPr>
            <w:tcW w:w="4578" w:type="dxa"/>
            <w:tcBorders>
              <w:top w:val="single" w:color="auto" w:sz="4" w:space="0"/>
              <w:bottom w:val="single" w:color="auto" w:sz="4" w:space="0"/>
            </w:tcBorders>
            <w:shd w:val="clear" w:color="auto" w:fill="FEF2CC" w:themeFill="accent4" w:themeFillTint="33"/>
            <w:vAlign w:val="center"/>
          </w:tcPr>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需求</w:t>
            </w:r>
            <w:r>
              <w:rPr>
                <w:rFonts w:asciiTheme="minorEastAsia" w:hAnsiTheme="minorEastAsia" w:eastAsiaTheme="minorEastAsia" w:cstheme="minorEastAsia"/>
                <w:sz w:val="18"/>
                <w:szCs w:val="18"/>
              </w:rPr>
              <w:t>内容：引入大宗贸易公司和平台运营公司以多种方式合作运营平台</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合作</w:t>
            </w:r>
            <w:r>
              <w:rPr>
                <w:rFonts w:asciiTheme="minorEastAsia" w:hAnsiTheme="minorEastAsia" w:eastAsiaTheme="minorEastAsia" w:cstheme="minorEastAsia"/>
                <w:sz w:val="18"/>
                <w:szCs w:val="18"/>
              </w:rPr>
              <w:t>对象：具有银行授信额度、可用下线仓库及金融运营牌照等平台运营</w:t>
            </w:r>
          </w:p>
        </w:tc>
        <w:tc>
          <w:tcPr>
            <w:tcW w:w="851" w:type="dxa"/>
            <w:tcBorders>
              <w:top w:val="single" w:color="auto" w:sz="4" w:space="0"/>
              <w:bottom w:val="single" w:color="auto" w:sz="4" w:space="0"/>
            </w:tcBorders>
            <w:shd w:val="clear" w:color="auto" w:fill="FEF2CC" w:themeFill="accent4" w:themeFillTint="33"/>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成都</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国际</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铁路港投资</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发展</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有限</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公司</w:t>
            </w:r>
          </w:p>
        </w:tc>
        <w:tc>
          <w:tcPr>
            <w:tcW w:w="796" w:type="dxa"/>
            <w:tcBorders>
              <w:top w:val="single" w:color="auto" w:sz="4" w:space="0"/>
              <w:bottom w:val="single" w:color="auto" w:sz="4" w:space="0"/>
            </w:tcBorders>
            <w:shd w:val="clear" w:color="auto" w:fill="FEF2CC" w:themeFill="accent4" w:themeFillTint="33"/>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龚庆</w:t>
            </w:r>
          </w:p>
        </w:tc>
        <w:tc>
          <w:tcPr>
            <w:tcW w:w="1262" w:type="dxa"/>
            <w:tcBorders>
              <w:top w:val="single" w:color="auto" w:sz="4" w:space="0"/>
              <w:bottom w:val="single" w:color="auto" w:sz="4" w:space="0"/>
            </w:tcBorders>
            <w:shd w:val="clear" w:color="auto" w:fill="FEF2CC" w:themeFill="accent4" w:themeFillTint="33"/>
            <w:vAlign w:val="center"/>
          </w:tcPr>
          <w:p>
            <w:pPr>
              <w:spacing w:line="240" w:lineRule="exact"/>
              <w:jc w:val="center"/>
              <w:rPr>
                <w:rFonts w:asciiTheme="minorEastAsia" w:hAnsiTheme="minorEastAsia" w:eastAsiaTheme="minorEastAsia" w:cstheme="minorEastAsia"/>
                <w:sz w:val="18"/>
                <w:szCs w:val="18"/>
              </w:rPr>
            </w:pPr>
            <w:r>
              <w:rPr>
                <w:rFonts w:hint="eastAsia" w:asciiTheme="minorEastAsia" w:hAnsiTheme="minorEastAsia" w:eastAsiaTheme="minorEastAsia" w:cstheme="minorEastAsia"/>
                <w:spacing w:val="-6"/>
                <w:sz w:val="18"/>
                <w:szCs w:val="18"/>
                <w:lang w:val="en-US" w:eastAsia="zh-CN"/>
              </w:rPr>
              <w:t>028-</w:t>
            </w:r>
            <w:r>
              <w:rPr>
                <w:rFonts w:asciiTheme="minorEastAsia" w:hAnsiTheme="minorEastAsia" w:eastAsiaTheme="minorEastAsia" w:cstheme="minorEastAsia"/>
                <w:spacing w:val="-6"/>
                <w:sz w:val="18"/>
                <w:szCs w:val="18"/>
              </w:rPr>
              <w:t>89339097</w:t>
            </w:r>
          </w:p>
        </w:tc>
        <w:tc>
          <w:tcPr>
            <w:tcW w:w="975" w:type="dxa"/>
            <w:tcBorders>
              <w:top w:val="single" w:color="auto" w:sz="4" w:space="0"/>
              <w:bottom w:val="single" w:color="auto" w:sz="4" w:space="0"/>
            </w:tcBorders>
            <w:shd w:val="clear" w:color="auto" w:fill="FEF2CC" w:themeFill="accent4" w:themeFillTint="33"/>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2019.</w:t>
            </w:r>
            <w:r>
              <w:rPr>
                <w:rFonts w:hint="eastAsia" w:asciiTheme="minorEastAsia" w:hAnsiTheme="minorEastAsia" w:eastAsiaTheme="minorEastAsia" w:cstheme="minorEastAsia"/>
                <w:sz w:val="18"/>
                <w:szCs w:val="18"/>
              </w:rPr>
              <w:t>10</w:t>
            </w:r>
            <w:r>
              <w:rPr>
                <w:rFonts w:asciiTheme="minorEastAsia" w:hAnsiTheme="minorEastAsia" w:eastAsiaTheme="minorEastAsia" w:cstheme="minorEastAsia"/>
                <w:sz w:val="18"/>
                <w:szCs w:val="18"/>
              </w:rPr>
              <w:t>-12</w:t>
            </w:r>
          </w:p>
        </w:tc>
        <w:tc>
          <w:tcPr>
            <w:tcW w:w="779" w:type="dxa"/>
            <w:tcBorders>
              <w:top w:val="single" w:color="auto" w:sz="4" w:space="0"/>
              <w:bottom w:val="single" w:color="auto" w:sz="4" w:space="0"/>
              <w:right w:val="single" w:color="auto" w:sz="4" w:space="0"/>
            </w:tcBorders>
            <w:shd w:val="clear" w:color="auto" w:fill="FEF2CC" w:themeFill="accent4" w:themeFillTint="33"/>
            <w:vAlign w:val="center"/>
          </w:tcPr>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临港</w:t>
            </w:r>
          </w:p>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服务业功能区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428" w:hRule="atLeast"/>
        </w:trPr>
        <w:tc>
          <w:tcPr>
            <w:tcW w:w="1248" w:type="dxa"/>
            <w:vMerge w:val="restart"/>
            <w:tcBorders>
              <w:top w:val="single" w:color="auto" w:sz="4" w:space="0"/>
              <w:left w:val="single" w:color="auto" w:sz="4" w:space="0"/>
              <w:right w:val="single" w:color="auto" w:sz="4" w:space="0"/>
            </w:tcBorders>
            <w:shd w:val="clear" w:color="auto" w:fill="A8D08D" w:themeFill="accent6" w:themeFillTint="99"/>
            <w:vAlign w:val="center"/>
          </w:tcPr>
          <w:p>
            <w:pPr>
              <w:spacing w:line="240" w:lineRule="exact"/>
              <w:jc w:val="center"/>
              <w:rPr>
                <w:rFonts w:hint="eastAsia" w:ascii="方正兰亭黑_GBK" w:hAnsi="方正兰亭黑_GBK" w:eastAsia="方正兰亭黑_GBK" w:cs="方正兰亭黑_GBK"/>
                <w:color w:val="000000"/>
                <w:sz w:val="18"/>
                <w:szCs w:val="18"/>
                <w:lang w:eastAsia="zh-CN"/>
              </w:rPr>
            </w:pPr>
            <w:r>
              <w:rPr>
                <w:rFonts w:hint="eastAsia" w:ascii="方正兰亭黑_GBK" w:hAnsi="方正兰亭黑_GBK" w:eastAsia="方正兰亭黑_GBK" w:cs="方正兰亭黑_GBK"/>
                <w:color w:val="000000"/>
                <w:sz w:val="18"/>
                <w:szCs w:val="18"/>
                <w:lang w:eastAsia="zh-CN"/>
              </w:rPr>
              <w:t>多式联运</w:t>
            </w:r>
          </w:p>
          <w:p>
            <w:pPr>
              <w:spacing w:line="240" w:lineRule="exact"/>
              <w:jc w:val="center"/>
              <w:rPr>
                <w:rFonts w:hint="eastAsia" w:ascii="方正兰亭黑_GBK" w:hAnsi="方正兰亭黑_GBK" w:eastAsia="方正兰亭黑_GBK" w:cs="方正兰亭黑_GBK"/>
                <w:color w:val="000000"/>
                <w:sz w:val="18"/>
                <w:szCs w:val="18"/>
                <w:lang w:eastAsia="zh-CN"/>
              </w:rPr>
            </w:pPr>
            <w:r>
              <w:rPr>
                <w:rFonts w:hint="eastAsia" w:ascii="方正兰亭黑_GBK" w:hAnsi="方正兰亭黑_GBK" w:eastAsia="方正兰亭黑_GBK" w:cs="方正兰亭黑_GBK"/>
                <w:color w:val="000000"/>
                <w:sz w:val="18"/>
                <w:szCs w:val="18"/>
                <w:lang w:eastAsia="zh-CN"/>
              </w:rPr>
              <w:t>物流园区</w:t>
            </w:r>
          </w:p>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5"/>
                <w:szCs w:val="15"/>
              </w:rPr>
              <w:t>（成都青白江）</w:t>
            </w:r>
          </w:p>
        </w:tc>
        <w:tc>
          <w:tcPr>
            <w:tcW w:w="2178" w:type="dxa"/>
            <w:vMerge w:val="restart"/>
            <w:tcBorders>
              <w:top w:val="single" w:color="auto" w:sz="4" w:space="0"/>
              <w:left w:val="single" w:color="auto" w:sz="4" w:space="0"/>
              <w:right w:val="single" w:color="auto" w:sz="4" w:space="0"/>
            </w:tcBorders>
            <w:shd w:val="clear" w:color="auto" w:fill="C5E0B3" w:themeFill="accent6" w:themeFillTint="66"/>
            <w:vAlign w:val="center"/>
          </w:tcPr>
          <w:p>
            <w:pPr>
              <w:spacing w:line="240" w:lineRule="exact"/>
              <w:jc w:val="both"/>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多式联运示范工程建设一个</w:t>
            </w:r>
            <w:r>
              <w:rPr>
                <w:rFonts w:hint="eastAsia" w:asciiTheme="minorEastAsia" w:hAnsiTheme="minorEastAsia" w:eastAsiaTheme="minorEastAsia" w:cstheme="minorEastAsia"/>
                <w:sz w:val="18"/>
                <w:szCs w:val="18"/>
              </w:rPr>
              <w:t>集装箱共享基地，解决港区集装箱周转问题；搭建</w:t>
            </w:r>
            <w:r>
              <w:rPr>
                <w:rFonts w:asciiTheme="minorEastAsia" w:hAnsiTheme="minorEastAsia" w:eastAsiaTheme="minorEastAsia" w:cstheme="minorEastAsia"/>
                <w:sz w:val="18"/>
                <w:szCs w:val="18"/>
              </w:rPr>
              <w:t>挂车共享云平台</w:t>
            </w:r>
            <w:r>
              <w:rPr>
                <w:rFonts w:hint="eastAsia" w:asciiTheme="minorEastAsia" w:hAnsiTheme="minorEastAsia" w:eastAsiaTheme="minorEastAsia" w:cstheme="minorEastAsia"/>
                <w:sz w:val="18"/>
                <w:szCs w:val="18"/>
              </w:rPr>
              <w:t>和</w:t>
            </w:r>
            <w:r>
              <w:rPr>
                <w:rFonts w:asciiTheme="minorEastAsia" w:hAnsiTheme="minorEastAsia" w:eastAsiaTheme="minorEastAsia" w:cstheme="minorEastAsia"/>
                <w:sz w:val="18"/>
                <w:szCs w:val="18"/>
              </w:rPr>
              <w:t>多式联运立体枢纽、自动化立体仓储和智能车辆管理服务三个系统</w:t>
            </w:r>
            <w:r>
              <w:rPr>
                <w:rFonts w:hint="eastAsia" w:asciiTheme="minorEastAsia" w:hAnsiTheme="minorEastAsia" w:eastAsiaTheme="minorEastAsia" w:cstheme="minorEastAsia"/>
                <w:sz w:val="18"/>
                <w:szCs w:val="18"/>
              </w:rPr>
              <w:t>，打造</w:t>
            </w:r>
            <w:r>
              <w:rPr>
                <w:rFonts w:asciiTheme="minorEastAsia" w:hAnsiTheme="minorEastAsia" w:eastAsiaTheme="minorEastAsia" w:cstheme="minorEastAsia"/>
                <w:sz w:val="18"/>
                <w:szCs w:val="18"/>
              </w:rPr>
              <w:t>西部地区乃至全国具备多式联运功能的重要物流集散中心</w:t>
            </w:r>
            <w:r>
              <w:rPr>
                <w:rFonts w:hint="eastAsia" w:asciiTheme="minorEastAsia" w:hAnsiTheme="minorEastAsia" w:eastAsiaTheme="minorEastAsia" w:cstheme="minorEastAsia"/>
                <w:sz w:val="18"/>
                <w:szCs w:val="18"/>
              </w:rPr>
              <w:t>，</w:t>
            </w:r>
            <w:r>
              <w:rPr>
                <w:rFonts w:asciiTheme="minorEastAsia" w:hAnsiTheme="minorEastAsia" w:eastAsiaTheme="minorEastAsia" w:cstheme="minorEastAsia"/>
                <w:sz w:val="18"/>
                <w:szCs w:val="18"/>
              </w:rPr>
              <w:t>逐步建成特色鲜明、设施先进的一站式全程物流服务创新平台和多式联运物流园区</w:t>
            </w:r>
          </w:p>
        </w:tc>
        <w:tc>
          <w:tcPr>
            <w:tcW w:w="645" w:type="dxa"/>
            <w:vMerge w:val="restart"/>
            <w:tcBorders>
              <w:top w:val="single" w:color="auto" w:sz="4" w:space="0"/>
              <w:left w:val="single" w:color="auto" w:sz="4" w:space="0"/>
            </w:tcBorders>
            <w:shd w:val="clear" w:color="auto" w:fill="E2EFD9" w:themeFill="accent6" w:themeFillTint="33"/>
            <w:vAlign w:val="center"/>
          </w:tcPr>
          <w:p>
            <w:pPr>
              <w:spacing w:line="240" w:lineRule="exact"/>
              <w:jc w:val="center"/>
              <w:rPr>
                <w:rFonts w:ascii="方正兰亭黑_GBK" w:hAnsi="方正兰亭黑_GBK" w:eastAsia="方正兰亭黑_GBK" w:cs="方正兰亭黑_GBK"/>
                <w:color w:val="000000"/>
                <w:sz w:val="18"/>
                <w:szCs w:val="18"/>
              </w:rPr>
            </w:pPr>
            <w:r>
              <w:rPr>
                <w:rFonts w:ascii="方正兰亭黑_GBK" w:hAnsi="方正兰亭黑_GBK" w:eastAsia="方正兰亭黑_GBK" w:cs="方正兰亭黑_GBK"/>
                <w:color w:val="000000"/>
                <w:sz w:val="18"/>
                <w:szCs w:val="18"/>
              </w:rPr>
              <w:t>基础设施</w:t>
            </w:r>
            <w:r>
              <w:rPr>
                <w:rFonts w:hint="eastAsia" w:ascii="方正兰亭黑_GBK" w:hAnsi="方正兰亭黑_GBK" w:eastAsia="方正兰亭黑_GBK" w:cs="方正兰亭黑_GBK"/>
                <w:color w:val="000000"/>
                <w:sz w:val="18"/>
                <w:szCs w:val="18"/>
              </w:rPr>
              <w:t>建设</w:t>
            </w:r>
          </w:p>
        </w:tc>
        <w:tc>
          <w:tcPr>
            <w:tcW w:w="990" w:type="dxa"/>
            <w:tcBorders>
              <w:top w:val="single" w:color="auto" w:sz="4" w:space="0"/>
              <w:bottom w:val="single" w:color="auto" w:sz="4" w:space="0"/>
            </w:tcBorders>
            <w:shd w:val="clear" w:color="auto" w:fill="E2EFD9" w:themeFill="accent6" w:themeFillTint="33"/>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成都国际铁路港</w:t>
            </w:r>
          </w:p>
          <w:p>
            <w:pPr>
              <w:spacing w:line="240" w:lineRule="exact"/>
              <w:jc w:val="center"/>
              <w:rPr>
                <w:rFonts w:hint="eastAsia" w:asciiTheme="minorEastAsia" w:hAnsiTheme="minorEastAsia" w:eastAsiaTheme="minorEastAsia" w:cstheme="minorEastAsia"/>
                <w:sz w:val="18"/>
                <w:szCs w:val="18"/>
                <w:lang w:eastAsia="zh-CN"/>
              </w:rPr>
            </w:pPr>
            <w:r>
              <w:rPr>
                <w:rFonts w:asciiTheme="minorEastAsia" w:hAnsiTheme="minorEastAsia" w:eastAsiaTheme="minorEastAsia" w:cstheme="minorEastAsia"/>
                <w:sz w:val="18"/>
                <w:szCs w:val="18"/>
              </w:rPr>
              <w:t>多式联运项目</w:t>
            </w:r>
            <w:r>
              <w:rPr>
                <w:rFonts w:hint="eastAsia" w:asciiTheme="minorEastAsia" w:hAnsiTheme="minorEastAsia" w:eastAsiaTheme="minorEastAsia" w:cstheme="minorEastAsia"/>
                <w:sz w:val="18"/>
                <w:szCs w:val="18"/>
                <w:lang w:eastAsia="zh-CN"/>
              </w:rPr>
              <w:t>基础设施建设</w:t>
            </w:r>
          </w:p>
        </w:tc>
        <w:tc>
          <w:tcPr>
            <w:tcW w:w="4578" w:type="dxa"/>
            <w:tcBorders>
              <w:top w:val="single" w:color="auto" w:sz="4" w:space="0"/>
              <w:bottom w:val="single" w:color="auto" w:sz="4" w:space="0"/>
            </w:tcBorders>
            <w:shd w:val="clear" w:color="auto" w:fill="E2EFD9" w:themeFill="accent6" w:themeFillTint="33"/>
            <w:vAlign w:val="center"/>
          </w:tcPr>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项目地点：成都市青白江区铁路大弯站以南</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建设内容：项目占地面积约200亩，总建筑面积约160012㎡（计容）</w:t>
            </w:r>
            <w:r>
              <w:rPr>
                <w:rFonts w:hint="eastAsia" w:asciiTheme="minorEastAsia" w:hAnsiTheme="minorEastAsia" w:eastAsiaTheme="minorEastAsia" w:cstheme="minorEastAsia"/>
                <w:sz w:val="18"/>
                <w:szCs w:val="18"/>
                <w:lang w:eastAsia="zh-CN"/>
              </w:rPr>
              <w:t>，</w:t>
            </w:r>
            <w:r>
              <w:rPr>
                <w:rFonts w:asciiTheme="minorEastAsia" w:hAnsiTheme="minorEastAsia" w:eastAsiaTheme="minorEastAsia" w:cstheme="minorEastAsia"/>
                <w:sz w:val="18"/>
                <w:szCs w:val="18"/>
              </w:rPr>
              <w:t>规划四栋仓库（包含冷链仓库）、两栋综合服务大楼及配套用房等附属设施，规划冷装箱作业区及集装箱堆场区，地面机动车及非机动车停车场</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估算投资规模：约4.79亿元</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建设周期：2019-2021</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hint="eastAsia" w:asciiTheme="minorEastAsia" w:hAnsiTheme="minorEastAsia" w:eastAsiaTheme="minorEastAsia" w:cstheme="minorEastAsia"/>
                <w:sz w:val="18"/>
                <w:szCs w:val="18"/>
                <w:lang w:eastAsia="zh-CN"/>
              </w:rPr>
            </w:pPr>
            <w:r>
              <w:rPr>
                <w:rFonts w:asciiTheme="minorEastAsia" w:hAnsiTheme="minorEastAsia" w:eastAsiaTheme="minorEastAsia" w:cstheme="minorEastAsia"/>
                <w:sz w:val="18"/>
                <w:szCs w:val="18"/>
              </w:rPr>
              <w:t>具体需求：通过招投标引入第三方建设机构建设多式联运</w:t>
            </w:r>
            <w:r>
              <w:rPr>
                <w:rFonts w:hint="eastAsia" w:asciiTheme="minorEastAsia" w:hAnsiTheme="minorEastAsia" w:eastAsiaTheme="minorEastAsia" w:cstheme="minorEastAsia"/>
                <w:sz w:val="18"/>
                <w:szCs w:val="18"/>
                <w:lang w:eastAsia="zh-CN"/>
              </w:rPr>
              <w:t>物流园区基础设施</w:t>
            </w:r>
          </w:p>
        </w:tc>
        <w:tc>
          <w:tcPr>
            <w:tcW w:w="851" w:type="dxa"/>
            <w:vMerge w:val="restart"/>
            <w:tcBorders>
              <w:top w:val="single" w:color="auto" w:sz="4" w:space="0"/>
            </w:tcBorders>
            <w:shd w:val="clear" w:color="auto" w:fill="E2EFD9" w:themeFill="accent6" w:themeFillTint="33"/>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成都</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国际</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铁路港投资</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发展</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有限</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公司</w:t>
            </w:r>
          </w:p>
        </w:tc>
        <w:tc>
          <w:tcPr>
            <w:tcW w:w="796" w:type="dxa"/>
            <w:tcBorders>
              <w:top w:val="single" w:color="auto" w:sz="4" w:space="0"/>
              <w:bottom w:val="single" w:color="auto" w:sz="4" w:space="0"/>
            </w:tcBorders>
            <w:shd w:val="clear" w:color="auto" w:fill="E2EFD9" w:themeFill="accent6" w:themeFillTint="33"/>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涂钰楷</w:t>
            </w:r>
          </w:p>
        </w:tc>
        <w:tc>
          <w:tcPr>
            <w:tcW w:w="1262" w:type="dxa"/>
            <w:tcBorders>
              <w:top w:val="single" w:color="auto" w:sz="4" w:space="0"/>
              <w:bottom w:val="single" w:color="auto" w:sz="4" w:space="0"/>
            </w:tcBorders>
            <w:shd w:val="clear" w:color="auto" w:fill="E2EFD9" w:themeFill="accent6" w:themeFillTint="33"/>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pacing w:val="-6"/>
                <w:sz w:val="18"/>
                <w:szCs w:val="18"/>
              </w:rPr>
              <w:t>028-89339177</w:t>
            </w:r>
          </w:p>
        </w:tc>
        <w:tc>
          <w:tcPr>
            <w:tcW w:w="975" w:type="dxa"/>
            <w:tcBorders>
              <w:top w:val="single" w:color="auto" w:sz="4" w:space="0"/>
              <w:bottom w:val="single" w:color="auto" w:sz="4" w:space="0"/>
            </w:tcBorders>
            <w:shd w:val="clear" w:color="auto" w:fill="E2EFD9" w:themeFill="accent6" w:themeFillTint="33"/>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2019.</w:t>
            </w:r>
            <w:r>
              <w:rPr>
                <w:rFonts w:hint="eastAsia" w:asciiTheme="minorEastAsia" w:hAnsiTheme="minorEastAsia" w:eastAsiaTheme="minorEastAsia" w:cstheme="minorEastAsia"/>
                <w:sz w:val="18"/>
                <w:szCs w:val="18"/>
              </w:rPr>
              <w:t>10</w:t>
            </w:r>
            <w:r>
              <w:rPr>
                <w:rFonts w:asciiTheme="minorEastAsia" w:hAnsiTheme="minorEastAsia" w:eastAsiaTheme="minorEastAsia" w:cstheme="minorEastAsia"/>
                <w:sz w:val="18"/>
                <w:szCs w:val="18"/>
              </w:rPr>
              <w:t>-12</w:t>
            </w:r>
          </w:p>
        </w:tc>
        <w:tc>
          <w:tcPr>
            <w:tcW w:w="779" w:type="dxa"/>
            <w:vMerge w:val="restart"/>
            <w:tcBorders>
              <w:top w:val="single" w:color="auto" w:sz="4" w:space="0"/>
              <w:right w:val="single" w:color="auto" w:sz="4" w:space="0"/>
            </w:tcBorders>
            <w:shd w:val="clear" w:color="auto" w:fill="E2EFD9" w:themeFill="accent6" w:themeFillTint="33"/>
            <w:vAlign w:val="center"/>
          </w:tcPr>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临港</w:t>
            </w:r>
          </w:p>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服务业功能区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3950" w:hRule="atLeast"/>
        </w:trPr>
        <w:tc>
          <w:tcPr>
            <w:tcW w:w="1248" w:type="dxa"/>
            <w:vMerge w:val="continue"/>
            <w:tcBorders>
              <w:left w:val="single" w:color="auto" w:sz="4" w:space="0"/>
              <w:right w:val="single" w:color="auto" w:sz="4" w:space="0"/>
            </w:tcBorders>
            <w:shd w:val="clear" w:color="auto" w:fill="A8D08D" w:themeFill="accent6" w:themeFillTint="99"/>
            <w:vAlign w:val="center"/>
          </w:tcPr>
          <w:p>
            <w:pPr>
              <w:spacing w:line="240" w:lineRule="exact"/>
              <w:jc w:val="center"/>
              <w:rPr>
                <w:rFonts w:ascii="方正兰亭黑_GBK" w:hAnsi="方正兰亭黑_GBK" w:eastAsia="方正兰亭黑_GBK" w:cs="方正兰亭黑_GBK"/>
                <w:color w:val="000000"/>
                <w:sz w:val="18"/>
                <w:szCs w:val="18"/>
              </w:rPr>
            </w:pPr>
          </w:p>
        </w:tc>
        <w:tc>
          <w:tcPr>
            <w:tcW w:w="2178" w:type="dxa"/>
            <w:vMerge w:val="continue"/>
            <w:tcBorders>
              <w:left w:val="single" w:color="auto" w:sz="4" w:space="0"/>
              <w:right w:val="single" w:color="auto" w:sz="4" w:space="0"/>
            </w:tcBorders>
            <w:shd w:val="clear" w:color="auto" w:fill="C5E0B3" w:themeFill="accent6" w:themeFillTint="66"/>
            <w:vAlign w:val="center"/>
          </w:tcPr>
          <w:p>
            <w:pPr>
              <w:spacing w:line="240" w:lineRule="exact"/>
              <w:jc w:val="both"/>
              <w:rPr>
                <w:rFonts w:asciiTheme="minorEastAsia" w:hAnsiTheme="minorEastAsia" w:eastAsiaTheme="minorEastAsia" w:cstheme="minorEastAsia"/>
                <w:sz w:val="18"/>
                <w:szCs w:val="18"/>
              </w:rPr>
            </w:pPr>
          </w:p>
        </w:tc>
        <w:tc>
          <w:tcPr>
            <w:tcW w:w="645" w:type="dxa"/>
            <w:vMerge w:val="continue"/>
            <w:tcBorders>
              <w:left w:val="single" w:color="auto" w:sz="4" w:space="0"/>
            </w:tcBorders>
            <w:shd w:val="clear" w:color="auto" w:fill="E2EFD9" w:themeFill="accent6" w:themeFillTint="33"/>
            <w:vAlign w:val="center"/>
          </w:tcPr>
          <w:p>
            <w:pPr>
              <w:spacing w:line="240" w:lineRule="exact"/>
              <w:jc w:val="center"/>
              <w:rPr>
                <w:rFonts w:ascii="方正兰亭黑_GBK" w:hAnsi="方正兰亭黑_GBK" w:eastAsia="方正兰亭黑_GBK" w:cs="方正兰亭黑_GBK"/>
                <w:color w:val="000000"/>
                <w:sz w:val="18"/>
                <w:szCs w:val="18"/>
              </w:rPr>
            </w:pPr>
          </w:p>
        </w:tc>
        <w:tc>
          <w:tcPr>
            <w:tcW w:w="990" w:type="dxa"/>
            <w:tcBorders>
              <w:top w:val="single" w:color="auto" w:sz="4" w:space="0"/>
              <w:bottom w:val="single" w:color="auto" w:sz="4" w:space="0"/>
            </w:tcBorders>
            <w:shd w:val="clear" w:color="auto" w:fill="E2EFD9" w:themeFill="accent6" w:themeFillTint="33"/>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成都国际铁路港</w:t>
            </w:r>
          </w:p>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集装箱</w:t>
            </w:r>
          </w:p>
          <w:p>
            <w:pPr>
              <w:spacing w:line="240" w:lineRule="exact"/>
              <w:jc w:val="center"/>
              <w:rPr>
                <w:rFonts w:hint="eastAsia" w:asciiTheme="minorEastAsia" w:hAnsiTheme="minorEastAsia" w:eastAsiaTheme="minorEastAsia" w:cstheme="minorEastAsia"/>
                <w:sz w:val="18"/>
                <w:szCs w:val="18"/>
                <w:lang w:eastAsia="zh-CN"/>
              </w:rPr>
            </w:pPr>
            <w:r>
              <w:rPr>
                <w:rFonts w:asciiTheme="minorEastAsia" w:hAnsiTheme="minorEastAsia" w:eastAsiaTheme="minorEastAsia" w:cstheme="minorEastAsia"/>
                <w:sz w:val="18"/>
                <w:szCs w:val="18"/>
              </w:rPr>
              <w:t>共享基地</w:t>
            </w:r>
            <w:r>
              <w:rPr>
                <w:rFonts w:hint="eastAsia" w:asciiTheme="minorEastAsia" w:hAnsiTheme="minorEastAsia" w:eastAsiaTheme="minorEastAsia" w:cstheme="minorEastAsia"/>
                <w:sz w:val="18"/>
                <w:szCs w:val="18"/>
                <w:lang w:eastAsia="zh-CN"/>
              </w:rPr>
              <w:t>建设</w:t>
            </w:r>
          </w:p>
        </w:tc>
        <w:tc>
          <w:tcPr>
            <w:tcW w:w="4578" w:type="dxa"/>
            <w:tcBorders>
              <w:top w:val="single" w:color="auto" w:sz="4" w:space="0"/>
              <w:bottom w:val="single" w:color="auto" w:sz="4" w:space="0"/>
            </w:tcBorders>
            <w:shd w:val="clear" w:color="auto" w:fill="E2EFD9" w:themeFill="accent6" w:themeFillTint="33"/>
            <w:vAlign w:val="center"/>
          </w:tcPr>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项目地点：成都市青白江区集装箱中心站东北</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建设内容：项目总规划用地面积约119亩，其中1#地块面积约83亩，2#地块面积约36亩（最终用地面积以规划部门实测为准）</w:t>
            </w:r>
            <w:r>
              <w:rPr>
                <w:rFonts w:hint="eastAsia" w:asciiTheme="minorEastAsia" w:hAnsiTheme="minorEastAsia" w:eastAsiaTheme="minorEastAsia" w:cstheme="minorEastAsia"/>
                <w:sz w:val="18"/>
                <w:szCs w:val="18"/>
                <w:lang w:eastAsia="zh-CN"/>
              </w:rPr>
              <w:t>，</w:t>
            </w:r>
            <w:r>
              <w:rPr>
                <w:rFonts w:asciiTheme="minorEastAsia" w:hAnsiTheme="minorEastAsia" w:eastAsiaTheme="minorEastAsia" w:cstheme="minorEastAsia"/>
                <w:sz w:val="18"/>
                <w:szCs w:val="18"/>
              </w:rPr>
              <w:t>拟建普通干货箱、蓄能特种箱及冷藏特种箱堆存区、修洗箱区（包含冷藏特种箱加油区）、预留重箱堆存及掏拼箱作业区等生产设施及综合办公楼、门卫室等辅助设施，堆存区集装箱最大堆存量约为8490TEU</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估算投资规模：约8000万元</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建设周期：2019-2020</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具体需求：通过招投标引入第三方建设机构建设集装箱共享基地项目</w:t>
            </w:r>
          </w:p>
        </w:tc>
        <w:tc>
          <w:tcPr>
            <w:tcW w:w="851" w:type="dxa"/>
            <w:vMerge w:val="continue"/>
            <w:shd w:val="clear" w:color="auto" w:fill="E2EFD9" w:themeFill="accent6" w:themeFillTint="33"/>
            <w:vAlign w:val="center"/>
          </w:tcPr>
          <w:p>
            <w:pPr>
              <w:spacing w:line="240" w:lineRule="exact"/>
              <w:jc w:val="center"/>
              <w:rPr>
                <w:rFonts w:asciiTheme="minorEastAsia" w:hAnsiTheme="minorEastAsia" w:eastAsiaTheme="minorEastAsia" w:cstheme="minorEastAsia"/>
                <w:sz w:val="18"/>
                <w:szCs w:val="18"/>
              </w:rPr>
            </w:pPr>
          </w:p>
        </w:tc>
        <w:tc>
          <w:tcPr>
            <w:tcW w:w="796" w:type="dxa"/>
            <w:tcBorders>
              <w:top w:val="single" w:color="auto" w:sz="4" w:space="0"/>
              <w:bottom w:val="single" w:color="auto" w:sz="4" w:space="0"/>
            </w:tcBorders>
            <w:shd w:val="clear" w:color="auto" w:fill="E2EFD9" w:themeFill="accent6" w:themeFillTint="33"/>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涂钰楷</w:t>
            </w:r>
          </w:p>
        </w:tc>
        <w:tc>
          <w:tcPr>
            <w:tcW w:w="1262" w:type="dxa"/>
            <w:tcBorders>
              <w:top w:val="single" w:color="auto" w:sz="4" w:space="0"/>
              <w:bottom w:val="single" w:color="auto" w:sz="4" w:space="0"/>
            </w:tcBorders>
            <w:shd w:val="clear" w:color="auto" w:fill="E2EFD9" w:themeFill="accent6" w:themeFillTint="33"/>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pacing w:val="-6"/>
                <w:sz w:val="18"/>
                <w:szCs w:val="18"/>
              </w:rPr>
              <w:t>028-89339177</w:t>
            </w:r>
          </w:p>
        </w:tc>
        <w:tc>
          <w:tcPr>
            <w:tcW w:w="975" w:type="dxa"/>
            <w:tcBorders>
              <w:top w:val="single" w:color="auto" w:sz="4" w:space="0"/>
              <w:bottom w:val="single" w:color="auto" w:sz="4" w:space="0"/>
            </w:tcBorders>
            <w:shd w:val="clear" w:color="auto" w:fill="E2EFD9" w:themeFill="accent6" w:themeFillTint="33"/>
            <w:vAlign w:val="center"/>
          </w:tcPr>
          <w:p>
            <w:pPr>
              <w:spacing w:line="240" w:lineRule="exact"/>
              <w:jc w:val="center"/>
              <w:rPr>
                <w:rFonts w:asciiTheme="minorEastAsia" w:hAnsiTheme="minorEastAsia" w:eastAsiaTheme="minorEastAsia" w:cstheme="minorEastAsia"/>
                <w:sz w:val="18"/>
                <w:szCs w:val="18"/>
              </w:rPr>
            </w:pPr>
            <w:r>
              <w:rPr>
                <w:rFonts w:asciiTheme="minorEastAsia" w:hAnsiTheme="minorEastAsia" w:eastAsiaTheme="minorEastAsia" w:cstheme="minorEastAsia"/>
                <w:sz w:val="18"/>
                <w:szCs w:val="18"/>
              </w:rPr>
              <w:t>2019.</w:t>
            </w:r>
            <w:r>
              <w:rPr>
                <w:rFonts w:hint="eastAsia" w:asciiTheme="minorEastAsia" w:hAnsiTheme="minorEastAsia" w:eastAsiaTheme="minorEastAsia" w:cstheme="minorEastAsia"/>
                <w:sz w:val="18"/>
                <w:szCs w:val="18"/>
              </w:rPr>
              <w:t>10</w:t>
            </w:r>
            <w:r>
              <w:rPr>
                <w:rFonts w:asciiTheme="minorEastAsia" w:hAnsiTheme="minorEastAsia" w:eastAsiaTheme="minorEastAsia" w:cstheme="minorEastAsia"/>
                <w:sz w:val="18"/>
                <w:szCs w:val="18"/>
              </w:rPr>
              <w:t>-12</w:t>
            </w:r>
          </w:p>
        </w:tc>
        <w:tc>
          <w:tcPr>
            <w:tcW w:w="779" w:type="dxa"/>
            <w:vMerge w:val="continue"/>
            <w:tcBorders>
              <w:right w:val="single" w:color="auto" w:sz="4" w:space="0"/>
            </w:tcBorders>
            <w:shd w:val="clear" w:color="auto" w:fill="E2EFD9" w:themeFill="accent6" w:themeFillTint="33"/>
            <w:vAlign w:val="center"/>
          </w:tcPr>
          <w:p>
            <w:pPr>
              <w:spacing w:line="240" w:lineRule="exact"/>
              <w:jc w:val="center"/>
              <w:rPr>
                <w:rFonts w:hint="eastAsia" w:ascii="方正兰亭黑_GBK" w:hAnsi="方正兰亭黑_GBK" w:eastAsia="方正兰亭黑_GBK" w:cs="方正兰亭黑_GBK"/>
                <w:color w:val="00000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567" w:hRule="atLeast"/>
        </w:trPr>
        <w:tc>
          <w:tcPr>
            <w:tcW w:w="1248" w:type="dxa"/>
            <w:vMerge w:val="restart"/>
            <w:tcBorders>
              <w:left w:val="single" w:color="auto" w:sz="4" w:space="0"/>
              <w:bottom w:val="single" w:color="auto" w:sz="4" w:space="0"/>
              <w:right w:val="single" w:color="auto" w:sz="4" w:space="0"/>
            </w:tcBorders>
            <w:shd w:val="clear" w:color="auto" w:fill="FFD965" w:themeFill="accent4" w:themeFillTint="99"/>
            <w:vAlign w:val="center"/>
          </w:tcPr>
          <w:p>
            <w:pPr>
              <w:widowControl/>
              <w:spacing w:line="240" w:lineRule="exact"/>
              <w:jc w:val="center"/>
              <w:rPr>
                <w:rFonts w:hint="eastAsia" w:ascii="方正兰亭黑_GBK" w:hAnsi="方正兰亭黑_GBK" w:eastAsia="方正兰亭黑_GBK" w:cs="方正兰亭黑_GBK"/>
                <w:bCs/>
                <w:kern w:val="0"/>
                <w:sz w:val="18"/>
                <w:szCs w:val="18"/>
                <w:lang w:eastAsia="zh-CN"/>
              </w:rPr>
            </w:pPr>
            <w:r>
              <w:rPr>
                <w:rFonts w:hint="eastAsia" w:ascii="方正兰亭黑_GBK" w:hAnsi="方正兰亭黑_GBK" w:eastAsia="方正兰亭黑_GBK" w:cs="方正兰亭黑_GBK"/>
                <w:bCs/>
                <w:kern w:val="0"/>
                <w:sz w:val="18"/>
                <w:szCs w:val="18"/>
                <w:lang w:eastAsia="zh-CN"/>
              </w:rPr>
              <w:t>跨境</w:t>
            </w:r>
          </w:p>
          <w:p>
            <w:pPr>
              <w:widowControl/>
              <w:spacing w:line="240" w:lineRule="exact"/>
              <w:jc w:val="center"/>
              <w:rPr>
                <w:rFonts w:hint="eastAsia" w:ascii="方正兰亭黑_GBK" w:hAnsi="方正兰亭黑_GBK" w:eastAsia="方正兰亭黑_GBK" w:cs="方正兰亭黑_GBK"/>
                <w:bCs/>
                <w:kern w:val="0"/>
                <w:sz w:val="18"/>
                <w:szCs w:val="18"/>
                <w:lang w:eastAsia="zh-CN"/>
              </w:rPr>
            </w:pPr>
            <w:r>
              <w:rPr>
                <w:rFonts w:hint="eastAsia" w:ascii="方正兰亭黑_GBK" w:hAnsi="方正兰亭黑_GBK" w:eastAsia="方正兰亭黑_GBK" w:cs="方正兰亭黑_GBK"/>
                <w:bCs/>
                <w:kern w:val="0"/>
                <w:sz w:val="18"/>
                <w:szCs w:val="18"/>
                <w:lang w:eastAsia="zh-CN"/>
              </w:rPr>
              <w:t>供应链金融特色功能区</w:t>
            </w:r>
          </w:p>
          <w:p>
            <w:pPr>
              <w:widowControl/>
              <w:spacing w:line="240" w:lineRule="exact"/>
              <w:jc w:val="center"/>
              <w:rPr>
                <w:rFonts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5"/>
                <w:szCs w:val="15"/>
              </w:rPr>
              <w:t>（成都青白江）</w:t>
            </w:r>
          </w:p>
        </w:tc>
        <w:tc>
          <w:tcPr>
            <w:tcW w:w="2178" w:type="dxa"/>
            <w:vMerge w:val="restart"/>
            <w:tcBorders>
              <w:left w:val="single" w:color="auto" w:sz="4" w:space="0"/>
              <w:bottom w:val="single" w:color="auto" w:sz="4" w:space="0"/>
              <w:right w:val="single" w:color="auto" w:sz="4" w:space="0"/>
            </w:tcBorders>
            <w:shd w:val="clear" w:color="auto" w:fill="FFE599" w:themeFill="accent4" w:themeFillTint="66"/>
            <w:vAlign w:val="center"/>
          </w:tcPr>
          <w:p>
            <w:pPr>
              <w:keepNext w:val="0"/>
              <w:keepLines w:val="0"/>
              <w:pageBreakBefore w:val="0"/>
              <w:widowControl/>
              <w:kinsoku/>
              <w:wordWrap/>
              <w:overflowPunct/>
              <w:topLinePunct w:val="0"/>
              <w:autoSpaceDE/>
              <w:autoSpaceDN/>
              <w:bidi w:val="0"/>
              <w:adjustRightInd/>
              <w:snapToGrid/>
              <w:spacing w:line="220" w:lineRule="exact"/>
              <w:jc w:val="both"/>
              <w:textAlignment w:val="auto"/>
              <w:rPr>
                <w:rFonts w:asciiTheme="minorEastAsia" w:hAnsiTheme="minorEastAsia" w:eastAsiaTheme="minorEastAsia" w:cstheme="minorEastAsia"/>
                <w:sz w:val="18"/>
                <w:szCs w:val="18"/>
              </w:rPr>
            </w:pPr>
            <w:r>
              <w:rPr>
                <w:rFonts w:hint="eastAsia" w:asciiTheme="minorEastAsia" w:hAnsiTheme="minorEastAsia" w:eastAsiaTheme="minorEastAsia" w:cstheme="minorEastAsia"/>
                <w:color w:val="auto"/>
                <w:sz w:val="18"/>
                <w:szCs w:val="18"/>
                <w:lang w:eastAsia="zh-CN"/>
              </w:rPr>
              <w:t>功能区建设围绕解决青白江区中小型企业融资困难问题，同时为本外币账户管理、境外资产评估、关税保函等跨境贸易融资需求提供对应的金融产品支持，打造综合信息、货币交易、投融资服务、汇率风险管理等功能的平台。通过引入银行、征信评级等机构支持跨境供应链企业与金融服务机构开展金融模式创新，创建供应链金融创新中心；通过吸引和培育一批世界一流的供应链企业，有效拓展供应链业务，形成供应链企业集聚中心，</w:t>
            </w:r>
            <w:r>
              <w:rPr>
                <w:rFonts w:hint="eastAsia" w:asciiTheme="minorEastAsia" w:hAnsiTheme="minorEastAsia" w:eastAsiaTheme="minorEastAsia" w:cstheme="minorEastAsia"/>
                <w:color w:val="auto"/>
                <w:sz w:val="18"/>
                <w:szCs w:val="18"/>
                <w:lang w:val="en-US" w:eastAsia="zh-CN"/>
              </w:rPr>
              <w:t>构建供应链上下游企业互信互惠、协同发展的生态场景</w:t>
            </w:r>
          </w:p>
        </w:tc>
        <w:tc>
          <w:tcPr>
            <w:tcW w:w="645" w:type="dxa"/>
            <w:tcBorders>
              <w:left w:val="single" w:color="auto" w:sz="4" w:space="0"/>
              <w:bottom w:val="single" w:color="auto" w:sz="4" w:space="0"/>
            </w:tcBorders>
            <w:shd w:val="clear" w:color="auto" w:fill="FEF2CC" w:themeFill="accent4" w:themeFillTint="32"/>
            <w:vAlign w:val="center"/>
          </w:tcPr>
          <w:p>
            <w:pPr>
              <w:widowControl/>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highlight w:val="none"/>
                <w:lang w:eastAsia="zh-CN"/>
              </w:rPr>
              <w:t>基础设施建设</w:t>
            </w:r>
          </w:p>
        </w:tc>
        <w:tc>
          <w:tcPr>
            <w:tcW w:w="990" w:type="dxa"/>
            <w:tcBorders>
              <w:top w:val="single" w:color="auto" w:sz="4" w:space="0"/>
              <w:bottom w:val="single" w:color="auto" w:sz="4" w:space="0"/>
            </w:tcBorders>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bCs/>
                <w:sz w:val="18"/>
                <w:szCs w:val="18"/>
                <w:highlight w:val="none"/>
              </w:rPr>
            </w:pPr>
            <w:r>
              <w:rPr>
                <w:rFonts w:hint="eastAsia" w:asciiTheme="minorEastAsia" w:hAnsiTheme="minorEastAsia" w:eastAsiaTheme="minorEastAsia" w:cstheme="minorEastAsia"/>
                <w:bCs/>
                <w:sz w:val="18"/>
                <w:szCs w:val="18"/>
                <w:highlight w:val="none"/>
              </w:rPr>
              <w:t>打造</w:t>
            </w:r>
          </w:p>
          <w:p>
            <w:pPr>
              <w:spacing w:line="240" w:lineRule="exact"/>
              <w:jc w:val="center"/>
              <w:rPr>
                <w:rFonts w:hint="eastAsia" w:asciiTheme="minorEastAsia" w:hAnsiTheme="minorEastAsia" w:eastAsiaTheme="minorEastAsia" w:cstheme="minorEastAsia"/>
                <w:bCs/>
                <w:sz w:val="18"/>
                <w:szCs w:val="18"/>
                <w:highlight w:val="none"/>
              </w:rPr>
            </w:pPr>
            <w:r>
              <w:rPr>
                <w:rFonts w:hint="eastAsia" w:asciiTheme="minorEastAsia" w:hAnsiTheme="minorEastAsia" w:eastAsiaTheme="minorEastAsia" w:cstheme="minorEastAsia"/>
                <w:bCs/>
                <w:sz w:val="18"/>
                <w:szCs w:val="18"/>
                <w:highlight w:val="none"/>
              </w:rPr>
              <w:t>一带一路</w:t>
            </w:r>
          </w:p>
          <w:p>
            <w:pPr>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bCs/>
                <w:sz w:val="18"/>
                <w:szCs w:val="18"/>
                <w:highlight w:val="none"/>
              </w:rPr>
              <w:t>天府金融中心</w:t>
            </w:r>
          </w:p>
        </w:tc>
        <w:tc>
          <w:tcPr>
            <w:tcW w:w="4578" w:type="dxa"/>
            <w:tcBorders>
              <w:top w:val="single" w:color="auto" w:sz="4" w:space="0"/>
              <w:bottom w:val="single" w:color="auto" w:sz="4" w:space="0"/>
            </w:tcBorders>
            <w:shd w:val="clear" w:color="auto" w:fill="FEF2CC" w:themeFill="accent4" w:themeFillTint="32"/>
            <w:vAlign w:val="center"/>
          </w:tcPr>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项目地点：成都自贸区青白江片区</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建设内容：打造一带一路天府金融中心，提供小币种交易信息发布、“一带一路”沿线国家投融资服务咨询、跨境金融产品展示交易、国际金融博览会议等功能，建设金融大厦、金融超市、人才公寓等基础设施，为供应链金融服务企业、人才聚集发展提供必要物理空间</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估算投资规模：3亿元</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建设周期：1年</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highlight w:val="none"/>
                <w:lang w:val="en-US" w:eastAsia="zh-CN"/>
              </w:rPr>
              <w:t>具体需求：通过招投标引入第三方建设机构</w:t>
            </w:r>
          </w:p>
        </w:tc>
        <w:tc>
          <w:tcPr>
            <w:tcW w:w="851" w:type="dxa"/>
            <w:vMerge w:val="restart"/>
            <w:tcBorders>
              <w:bottom w:val="single" w:color="auto" w:sz="4" w:space="0"/>
            </w:tcBorders>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color w:val="000000"/>
                <w:sz w:val="18"/>
                <w:szCs w:val="18"/>
                <w:lang w:eastAsia="zh-CN"/>
              </w:rPr>
            </w:pPr>
            <w:r>
              <w:rPr>
                <w:rFonts w:hint="eastAsia" w:asciiTheme="minorEastAsia" w:hAnsiTheme="minorEastAsia" w:eastAsiaTheme="minorEastAsia" w:cstheme="minorEastAsia"/>
                <w:color w:val="000000"/>
                <w:sz w:val="18"/>
                <w:szCs w:val="18"/>
                <w:lang w:eastAsia="zh-CN"/>
              </w:rPr>
              <w:t>青白江区</w:t>
            </w:r>
            <w:r>
              <w:rPr>
                <w:rFonts w:hint="eastAsia" w:asciiTheme="minorEastAsia" w:hAnsiTheme="minorEastAsia" w:eastAsiaTheme="minorEastAsia" w:cstheme="minorEastAsia"/>
                <w:color w:val="000000"/>
                <w:sz w:val="18"/>
                <w:szCs w:val="18"/>
              </w:rPr>
              <w:t>国资金融局</w:t>
            </w:r>
          </w:p>
          <w:p>
            <w:pPr>
              <w:spacing w:line="240" w:lineRule="exact"/>
              <w:jc w:val="center"/>
              <w:rPr>
                <w:rFonts w:hint="eastAsia" w:asciiTheme="minorEastAsia" w:hAnsiTheme="minorEastAsia" w:eastAsiaTheme="minorEastAsia" w:cstheme="minorEastAsia"/>
                <w:sz w:val="18"/>
                <w:szCs w:val="18"/>
              </w:rPr>
            </w:pPr>
          </w:p>
        </w:tc>
        <w:tc>
          <w:tcPr>
            <w:tcW w:w="796" w:type="dxa"/>
            <w:vMerge w:val="restart"/>
            <w:tcBorders>
              <w:top w:val="single" w:color="auto" w:sz="4" w:space="0"/>
            </w:tcBorders>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rPr>
              <w:t>卢鹏</w:t>
            </w:r>
          </w:p>
        </w:tc>
        <w:tc>
          <w:tcPr>
            <w:tcW w:w="1262" w:type="dxa"/>
            <w:vMerge w:val="restart"/>
            <w:tcBorders>
              <w:top w:val="single" w:color="auto" w:sz="4" w:space="0"/>
            </w:tcBorders>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6"/>
                <w:sz w:val="18"/>
                <w:szCs w:val="18"/>
              </w:rPr>
              <w:t>028-89320208</w:t>
            </w:r>
          </w:p>
        </w:tc>
        <w:tc>
          <w:tcPr>
            <w:tcW w:w="975" w:type="dxa"/>
            <w:vMerge w:val="restart"/>
            <w:tcBorders>
              <w:top w:val="single" w:color="auto" w:sz="4" w:space="0"/>
            </w:tcBorders>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长期有效</w:t>
            </w:r>
          </w:p>
        </w:tc>
        <w:tc>
          <w:tcPr>
            <w:tcW w:w="779" w:type="dxa"/>
            <w:vMerge w:val="restart"/>
            <w:tcBorders>
              <w:right w:val="single" w:color="auto" w:sz="4" w:space="0"/>
            </w:tcBorders>
            <w:shd w:val="clear" w:color="auto" w:fill="FEF2CC" w:themeFill="accent4" w:themeFillTint="32"/>
            <w:vAlign w:val="center"/>
          </w:tcPr>
          <w:p>
            <w:pPr>
              <w:spacing w:line="240" w:lineRule="exact"/>
              <w:jc w:val="center"/>
              <w:rPr>
                <w:rFonts w:hint="eastAsia" w:ascii="方正兰亭黑_GBK" w:hAnsi="方正兰亭黑_GBK" w:eastAsia="方正兰亭黑_GBK" w:cs="方正兰亭黑_GBK"/>
                <w:color w:val="000000"/>
                <w:sz w:val="18"/>
                <w:szCs w:val="18"/>
                <w:lang w:eastAsia="zh-CN"/>
              </w:rPr>
            </w:pPr>
            <w:r>
              <w:rPr>
                <w:rFonts w:hint="eastAsia" w:ascii="方正兰亭黑_GBK" w:hAnsi="方正兰亭黑_GBK" w:eastAsia="方正兰亭黑_GBK" w:cs="方正兰亭黑_GBK"/>
                <w:color w:val="000000"/>
                <w:sz w:val="18"/>
                <w:szCs w:val="18"/>
                <w:lang w:eastAsia="zh-CN"/>
              </w:rPr>
              <w:t>临港</w:t>
            </w:r>
          </w:p>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lang w:eastAsia="zh-CN"/>
              </w:rPr>
              <w:t>服务业功能区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567" w:hRule="atLeast"/>
        </w:trPr>
        <w:tc>
          <w:tcPr>
            <w:tcW w:w="1248" w:type="dxa"/>
            <w:vMerge w:val="continue"/>
            <w:tcBorders>
              <w:left w:val="single" w:color="auto" w:sz="4" w:space="0"/>
            </w:tcBorders>
            <w:shd w:val="clear" w:color="auto" w:fill="FFD965" w:themeFill="accent4" w:themeFillTint="99"/>
            <w:vAlign w:val="center"/>
          </w:tcPr>
          <w:p>
            <w:pPr>
              <w:widowControl/>
              <w:spacing w:line="240" w:lineRule="exact"/>
              <w:jc w:val="center"/>
              <w:rPr>
                <w:rFonts w:ascii="方正兰亭黑_GBK" w:hAnsi="方正兰亭黑_GBK" w:eastAsia="方正兰亭黑_GBK" w:cs="方正兰亭黑_GBK"/>
                <w:color w:val="000000"/>
                <w:sz w:val="18"/>
                <w:szCs w:val="18"/>
              </w:rPr>
            </w:pPr>
          </w:p>
        </w:tc>
        <w:tc>
          <w:tcPr>
            <w:tcW w:w="2178" w:type="dxa"/>
            <w:vMerge w:val="continue"/>
            <w:shd w:val="clear" w:color="auto" w:fill="FFE599" w:themeFill="accent4" w:themeFillTint="66"/>
            <w:vAlign w:val="center"/>
          </w:tcPr>
          <w:p>
            <w:pPr>
              <w:widowControl/>
              <w:spacing w:line="240" w:lineRule="exact"/>
              <w:jc w:val="center"/>
              <w:rPr>
                <w:rFonts w:asciiTheme="minorEastAsia" w:hAnsiTheme="minorEastAsia" w:eastAsiaTheme="minorEastAsia" w:cstheme="minorEastAsia"/>
                <w:sz w:val="18"/>
                <w:szCs w:val="18"/>
              </w:rPr>
            </w:pPr>
          </w:p>
        </w:tc>
        <w:tc>
          <w:tcPr>
            <w:tcW w:w="645" w:type="dxa"/>
            <w:vMerge w:val="restart"/>
            <w:shd w:val="clear" w:color="auto" w:fill="FEF2CC" w:themeFill="accent4" w:themeFillTint="32"/>
            <w:vAlign w:val="center"/>
          </w:tcPr>
          <w:p>
            <w:pPr>
              <w:widowControl/>
              <w:spacing w:line="240" w:lineRule="exact"/>
              <w:jc w:val="center"/>
              <w:rPr>
                <w:rFonts w:hint="eastAsia" w:ascii="方正兰亭黑_GBK" w:hAnsi="方正兰亭黑_GBK" w:eastAsia="方正兰亭黑_GBK" w:cs="方正兰亭黑_GBK"/>
                <w:color w:val="000000"/>
                <w:sz w:val="18"/>
                <w:szCs w:val="18"/>
                <w:lang w:eastAsia="zh-CN"/>
              </w:rPr>
            </w:pPr>
            <w:r>
              <w:rPr>
                <w:rFonts w:hint="eastAsia" w:ascii="方正兰亭黑_GBK" w:hAnsi="方正兰亭黑_GBK" w:eastAsia="方正兰亭黑_GBK" w:cs="方正兰亭黑_GBK"/>
                <w:color w:val="000000"/>
                <w:sz w:val="18"/>
                <w:szCs w:val="18"/>
                <w:lang w:eastAsia="zh-CN"/>
              </w:rPr>
              <w:t>企业协作</w:t>
            </w:r>
          </w:p>
          <w:p>
            <w:pPr>
              <w:widowControl/>
              <w:spacing w:line="240" w:lineRule="exact"/>
              <w:jc w:val="center"/>
              <w:rPr>
                <w:rFonts w:hint="eastAsia" w:ascii="方正兰亭黑_GBK" w:hAnsi="方正兰亭黑_GBK" w:eastAsia="方正兰亭黑_GBK" w:cs="方正兰亭黑_GBK"/>
                <w:color w:val="000000"/>
                <w:sz w:val="18"/>
                <w:szCs w:val="18"/>
              </w:rPr>
            </w:pPr>
          </w:p>
        </w:tc>
        <w:tc>
          <w:tcPr>
            <w:tcW w:w="990" w:type="dxa"/>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rPr>
              <w:t>引入外资银行</w:t>
            </w:r>
          </w:p>
        </w:tc>
        <w:tc>
          <w:tcPr>
            <w:tcW w:w="4578" w:type="dxa"/>
            <w:shd w:val="clear" w:color="auto" w:fill="FEF2CC" w:themeFill="accent4" w:themeFillTint="32"/>
            <w:vAlign w:val="center"/>
          </w:tcPr>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引入地点：成都自贸区青白江片区</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主要类型：外资银行</w:t>
            </w:r>
          </w:p>
          <w:p>
            <w:pPr>
              <w:pStyle w:val="2"/>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服务时限：长期</w:t>
            </w:r>
          </w:p>
          <w:p>
            <w:pPr>
              <w:pStyle w:val="2"/>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highlight w:val="none"/>
                <w:lang w:val="en-US" w:eastAsia="zh-CN"/>
              </w:rPr>
              <w:t>经营范围：银行</w:t>
            </w:r>
          </w:p>
        </w:tc>
        <w:tc>
          <w:tcPr>
            <w:tcW w:w="851" w:type="dxa"/>
            <w:vMerge w:val="continue"/>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sz w:val="18"/>
                <w:szCs w:val="18"/>
              </w:rPr>
            </w:pPr>
          </w:p>
        </w:tc>
        <w:tc>
          <w:tcPr>
            <w:tcW w:w="796" w:type="dxa"/>
            <w:vMerge w:val="continue"/>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sz w:val="18"/>
                <w:szCs w:val="18"/>
              </w:rPr>
            </w:pPr>
          </w:p>
        </w:tc>
        <w:tc>
          <w:tcPr>
            <w:tcW w:w="1262" w:type="dxa"/>
            <w:vMerge w:val="continue"/>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sz w:val="18"/>
                <w:szCs w:val="18"/>
              </w:rPr>
            </w:pPr>
          </w:p>
        </w:tc>
        <w:tc>
          <w:tcPr>
            <w:tcW w:w="975" w:type="dxa"/>
            <w:vMerge w:val="continue"/>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sz w:val="18"/>
                <w:szCs w:val="18"/>
              </w:rPr>
            </w:pPr>
          </w:p>
        </w:tc>
        <w:tc>
          <w:tcPr>
            <w:tcW w:w="779" w:type="dxa"/>
            <w:vMerge w:val="continue"/>
            <w:tcBorders>
              <w:right w:val="single" w:color="auto" w:sz="4" w:space="0"/>
            </w:tcBorders>
            <w:shd w:val="clear" w:color="auto" w:fill="FEF2CC" w:themeFill="accent4" w:themeFillTint="32"/>
            <w:vAlign w:val="center"/>
          </w:tcPr>
          <w:p>
            <w:pPr>
              <w:spacing w:line="240" w:lineRule="exact"/>
              <w:jc w:val="center"/>
              <w:rPr>
                <w:rFonts w:hint="eastAsia" w:ascii="方正兰亭黑_GBK" w:hAnsi="方正兰亭黑_GBK" w:eastAsia="方正兰亭黑_GBK" w:cs="方正兰亭黑_GBK"/>
                <w:color w:val="00000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567" w:hRule="atLeast"/>
        </w:trPr>
        <w:tc>
          <w:tcPr>
            <w:tcW w:w="1248" w:type="dxa"/>
            <w:vMerge w:val="continue"/>
            <w:tcBorders>
              <w:left w:val="single" w:color="auto" w:sz="4" w:space="0"/>
            </w:tcBorders>
            <w:shd w:val="clear" w:color="auto" w:fill="FFD965" w:themeFill="accent4" w:themeFillTint="99"/>
            <w:vAlign w:val="center"/>
          </w:tcPr>
          <w:p>
            <w:pPr>
              <w:widowControl/>
              <w:spacing w:line="240" w:lineRule="exact"/>
              <w:jc w:val="center"/>
              <w:rPr>
                <w:rFonts w:ascii="方正兰亭黑_GBK" w:hAnsi="方正兰亭黑_GBK" w:eastAsia="方正兰亭黑_GBK" w:cs="方正兰亭黑_GBK"/>
                <w:color w:val="000000"/>
                <w:sz w:val="18"/>
                <w:szCs w:val="18"/>
              </w:rPr>
            </w:pPr>
          </w:p>
        </w:tc>
        <w:tc>
          <w:tcPr>
            <w:tcW w:w="2178" w:type="dxa"/>
            <w:vMerge w:val="continue"/>
            <w:shd w:val="clear" w:color="auto" w:fill="FFE599" w:themeFill="accent4" w:themeFillTint="66"/>
            <w:vAlign w:val="center"/>
          </w:tcPr>
          <w:p>
            <w:pPr>
              <w:widowControl/>
              <w:spacing w:line="240" w:lineRule="exact"/>
              <w:jc w:val="center"/>
              <w:rPr>
                <w:rFonts w:asciiTheme="minorEastAsia" w:hAnsiTheme="minorEastAsia" w:eastAsiaTheme="minorEastAsia" w:cstheme="minorEastAsia"/>
                <w:sz w:val="18"/>
                <w:szCs w:val="18"/>
              </w:rPr>
            </w:pPr>
          </w:p>
        </w:tc>
        <w:tc>
          <w:tcPr>
            <w:tcW w:w="645" w:type="dxa"/>
            <w:vMerge w:val="continue"/>
            <w:shd w:val="clear" w:color="auto" w:fill="FEF2CC" w:themeFill="accent4" w:themeFillTint="32"/>
            <w:vAlign w:val="center"/>
          </w:tcPr>
          <w:p>
            <w:pPr>
              <w:widowControl/>
              <w:spacing w:line="240" w:lineRule="exact"/>
              <w:jc w:val="center"/>
              <w:rPr>
                <w:rFonts w:ascii="方正兰亭黑_GBK" w:hAnsi="方正兰亭黑_GBK" w:eastAsia="方正兰亭黑_GBK" w:cs="方正兰亭黑_GBK"/>
                <w:color w:val="000000"/>
                <w:sz w:val="18"/>
                <w:szCs w:val="18"/>
              </w:rPr>
            </w:pPr>
          </w:p>
        </w:tc>
        <w:tc>
          <w:tcPr>
            <w:tcW w:w="990" w:type="dxa"/>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引入</w:t>
            </w:r>
          </w:p>
          <w:p>
            <w:pPr>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征信机构和信用</w:t>
            </w:r>
          </w:p>
          <w:p>
            <w:pPr>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rPr>
              <w:t>评级机构</w:t>
            </w:r>
          </w:p>
        </w:tc>
        <w:tc>
          <w:tcPr>
            <w:tcW w:w="4578" w:type="dxa"/>
            <w:shd w:val="clear" w:color="auto" w:fill="FEF2CC" w:themeFill="accent4" w:themeFillTint="32"/>
            <w:vAlign w:val="center"/>
          </w:tcPr>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引入地点：成都自贸区青白江片区</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sz w:val="18"/>
                <w:szCs w:val="18"/>
                <w:highlight w:val="none"/>
                <w:lang w:val="en-US" w:eastAsia="zh-CN"/>
              </w:rPr>
              <w:t>主要类型：征信机构、信用评级机构</w:t>
            </w:r>
          </w:p>
          <w:p>
            <w:pPr>
              <w:pStyle w:val="2"/>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sz w:val="18"/>
                <w:szCs w:val="18"/>
                <w:highlight w:val="none"/>
                <w:lang w:val="en-US" w:eastAsia="zh-CN"/>
              </w:rPr>
              <w:t>服务时限：长期</w:t>
            </w:r>
          </w:p>
          <w:p>
            <w:pPr>
              <w:keepNext w:val="0"/>
              <w:keepLines w:val="0"/>
              <w:pageBreakBefore w:val="0"/>
              <w:widowControl/>
              <w:kinsoku/>
              <w:wordWrap/>
              <w:overflowPunct/>
              <w:topLinePunct w:val="0"/>
              <w:autoSpaceDE/>
              <w:autoSpaceDN/>
              <w:bidi w:val="0"/>
              <w:adjustRightInd/>
              <w:snapToGrid/>
              <w:spacing w:line="240" w:lineRule="exact"/>
              <w:ind w:left="0" w:firstLine="0" w:firstLineChars="0"/>
              <w:jc w:val="both"/>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highlight w:val="none"/>
                <w:lang w:val="en-US" w:eastAsia="zh-CN"/>
              </w:rPr>
              <w:t>经营范围：征信、信用评级</w:t>
            </w:r>
          </w:p>
        </w:tc>
        <w:tc>
          <w:tcPr>
            <w:tcW w:w="851" w:type="dxa"/>
            <w:vMerge w:val="continue"/>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sz w:val="18"/>
                <w:szCs w:val="18"/>
              </w:rPr>
            </w:pPr>
          </w:p>
        </w:tc>
        <w:tc>
          <w:tcPr>
            <w:tcW w:w="796" w:type="dxa"/>
            <w:vMerge w:val="continue"/>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sz w:val="18"/>
                <w:szCs w:val="18"/>
              </w:rPr>
            </w:pPr>
          </w:p>
        </w:tc>
        <w:tc>
          <w:tcPr>
            <w:tcW w:w="1262" w:type="dxa"/>
            <w:vMerge w:val="continue"/>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sz w:val="18"/>
                <w:szCs w:val="18"/>
              </w:rPr>
            </w:pPr>
          </w:p>
        </w:tc>
        <w:tc>
          <w:tcPr>
            <w:tcW w:w="975" w:type="dxa"/>
            <w:vMerge w:val="continue"/>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sz w:val="18"/>
                <w:szCs w:val="18"/>
              </w:rPr>
            </w:pPr>
          </w:p>
        </w:tc>
        <w:tc>
          <w:tcPr>
            <w:tcW w:w="779" w:type="dxa"/>
            <w:vMerge w:val="continue"/>
            <w:tcBorders>
              <w:right w:val="single" w:color="auto" w:sz="4" w:space="0"/>
            </w:tcBorders>
            <w:shd w:val="clear" w:color="auto" w:fill="FEF2CC" w:themeFill="accent4" w:themeFillTint="32"/>
            <w:vAlign w:val="center"/>
          </w:tcPr>
          <w:p>
            <w:pPr>
              <w:spacing w:line="240" w:lineRule="exact"/>
              <w:jc w:val="center"/>
              <w:rPr>
                <w:rFonts w:hint="eastAsia" w:ascii="方正兰亭黑_GBK" w:hAnsi="方正兰亭黑_GBK" w:eastAsia="方正兰亭黑_GBK" w:cs="方正兰亭黑_GBK"/>
                <w:color w:val="00000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567" w:hRule="atLeast"/>
        </w:trPr>
        <w:tc>
          <w:tcPr>
            <w:tcW w:w="1248" w:type="dxa"/>
            <w:vMerge w:val="restart"/>
            <w:tcBorders>
              <w:left w:val="single" w:color="auto" w:sz="4" w:space="0"/>
            </w:tcBorders>
            <w:shd w:val="clear" w:color="auto" w:fill="A8D08D" w:themeFill="accent6" w:themeFillTint="99"/>
            <w:vAlign w:val="center"/>
          </w:tcPr>
          <w:p>
            <w:pPr>
              <w:widowControl/>
              <w:spacing w:line="240" w:lineRule="exact"/>
              <w:jc w:val="center"/>
              <w:rPr>
                <w:rFonts w:hint="eastAsia" w:ascii="方正兰亭黑_GBK" w:hAnsi="方正兰亭黑_GBK" w:eastAsia="方正兰亭黑_GBK" w:cs="方正兰亭黑_GBK"/>
                <w:b w:val="0"/>
                <w:bCs w:val="0"/>
                <w:color w:val="auto"/>
                <w:sz w:val="18"/>
                <w:szCs w:val="18"/>
              </w:rPr>
            </w:pPr>
            <w:r>
              <w:rPr>
                <w:rFonts w:hint="eastAsia" w:ascii="方正兰亭黑_GBK" w:hAnsi="方正兰亭黑_GBK" w:eastAsia="方正兰亭黑_GBK" w:cs="方正兰亭黑_GBK"/>
                <w:b w:val="0"/>
                <w:bCs w:val="0"/>
                <w:color w:val="auto"/>
                <w:sz w:val="18"/>
                <w:szCs w:val="18"/>
              </w:rPr>
              <w:t>到家鲜24小时网络商城平台</w:t>
            </w:r>
          </w:p>
          <w:p>
            <w:pPr>
              <w:widowControl/>
              <w:spacing w:line="240" w:lineRule="exact"/>
              <w:jc w:val="center"/>
              <w:rPr>
                <w:rFonts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b w:val="0"/>
                <w:bCs w:val="0"/>
                <w:color w:val="auto"/>
                <w:sz w:val="16"/>
                <w:szCs w:val="16"/>
                <w:lang w:eastAsia="zh-CN"/>
              </w:rPr>
              <w:t>（成都简阳）</w:t>
            </w:r>
          </w:p>
        </w:tc>
        <w:tc>
          <w:tcPr>
            <w:tcW w:w="2178" w:type="dxa"/>
            <w:vMerge w:val="restart"/>
            <w:shd w:val="clear" w:color="auto" w:fill="C5E0B3" w:themeFill="accent6" w:themeFillTint="66"/>
            <w:vAlign w:val="center"/>
          </w:tcPr>
          <w:p>
            <w:pPr>
              <w:widowControl/>
              <w:spacing w:line="240" w:lineRule="exact"/>
              <w:jc w:val="both"/>
              <w:rPr>
                <w:rFonts w:asciiTheme="minorEastAsia" w:hAnsiTheme="minorEastAsia" w:eastAsiaTheme="minorEastAsia" w:cstheme="minorEastAsia"/>
                <w:sz w:val="18"/>
                <w:szCs w:val="18"/>
              </w:rPr>
            </w:pPr>
            <w:r>
              <w:rPr>
                <w:rFonts w:hint="eastAsia" w:asciiTheme="minorEastAsia" w:hAnsiTheme="minorEastAsia" w:eastAsiaTheme="minorEastAsia" w:cstheme="minorEastAsia"/>
                <w:color w:val="auto"/>
                <w:spacing w:val="-6"/>
                <w:sz w:val="18"/>
                <w:szCs w:val="18"/>
                <w:lang w:eastAsia="zh-CN"/>
              </w:rPr>
              <w:t>专业化奶制品配送及管理平台，基于平台大数据，根据消费者喜好与需求，对传统供应链成本进行压缩，为消费者提供公平且最具性价比的选择，同时解决乳业代理商送奶员、促销员招工难、客户缺乏粘性等问题，打造奶制品“新电子商务”平台</w:t>
            </w:r>
          </w:p>
        </w:tc>
        <w:tc>
          <w:tcPr>
            <w:tcW w:w="645" w:type="dxa"/>
            <w:shd w:val="clear" w:color="auto" w:fill="E2EFDA" w:themeFill="accent6" w:themeFillTint="32"/>
            <w:vAlign w:val="center"/>
          </w:tcPr>
          <w:p>
            <w:pPr>
              <w:widowControl/>
              <w:spacing w:line="240" w:lineRule="exact"/>
              <w:jc w:val="center"/>
              <w:rPr>
                <w:rFonts w:ascii="方正兰亭黑_GBK" w:hAnsi="方正兰亭黑_GBK" w:eastAsia="方正兰亭黑_GBK" w:cs="方正兰亭黑_GBK"/>
                <w:color w:val="000000"/>
                <w:sz w:val="18"/>
                <w:szCs w:val="18"/>
              </w:rPr>
            </w:pPr>
            <w:r>
              <w:rPr>
                <w:rFonts w:hint="default" w:ascii="Times New Roman" w:hAnsi="Times New Roman" w:eastAsia="方正黑体_GBK" w:cs="Times New Roman"/>
                <w:color w:val="000000"/>
                <w:sz w:val="18"/>
                <w:szCs w:val="18"/>
              </w:rPr>
              <w:t>解决方案征集</w:t>
            </w:r>
          </w:p>
        </w:tc>
        <w:tc>
          <w:tcPr>
            <w:tcW w:w="990" w:type="dxa"/>
            <w:shd w:val="clear" w:color="auto" w:fill="E2EFDA" w:themeFill="accent6" w:themeFillTint="32"/>
            <w:vAlign w:val="center"/>
          </w:tcPr>
          <w:p>
            <w:pPr>
              <w:widowControl/>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到家鲜</w:t>
            </w:r>
          </w:p>
          <w:p>
            <w:pPr>
              <w:widowControl/>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送奶到家解决方案</w:t>
            </w:r>
          </w:p>
        </w:tc>
        <w:tc>
          <w:tcPr>
            <w:tcW w:w="4578" w:type="dxa"/>
            <w:shd w:val="clear" w:color="auto" w:fill="E2EFDA" w:themeFill="accent6" w:themeFillTint="32"/>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需求内容：营销、配送、财务等系统化管理</w:t>
            </w:r>
          </w:p>
          <w:p>
            <w:pPr>
              <w:pStyle w:val="2"/>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color w:val="000000"/>
                <w:sz w:val="18"/>
                <w:szCs w:val="18"/>
                <w:lang w:val="en-US"/>
              </w:rPr>
              <w:t>征集对象：物流配送企业、乳业、营销团队</w:t>
            </w:r>
          </w:p>
        </w:tc>
        <w:tc>
          <w:tcPr>
            <w:tcW w:w="851" w:type="dxa"/>
            <w:vMerge w:val="restart"/>
            <w:shd w:val="clear" w:color="auto" w:fill="E2EFDA" w:themeFill="accent6" w:themeFillTint="32"/>
            <w:vAlign w:val="center"/>
          </w:tcPr>
          <w:p>
            <w:pPr>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四川</w:t>
            </w:r>
          </w:p>
          <w:p>
            <w:pPr>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到家鲜科技</w:t>
            </w:r>
          </w:p>
          <w:p>
            <w:pPr>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有限</w:t>
            </w:r>
          </w:p>
          <w:p>
            <w:pPr>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公司</w:t>
            </w:r>
          </w:p>
          <w:p>
            <w:pPr>
              <w:spacing w:line="240" w:lineRule="exact"/>
              <w:jc w:val="both"/>
              <w:rPr>
                <w:rFonts w:hint="eastAsia" w:asciiTheme="minorEastAsia" w:hAnsiTheme="minorEastAsia" w:eastAsiaTheme="minorEastAsia" w:cstheme="minorEastAsia"/>
                <w:sz w:val="18"/>
                <w:szCs w:val="18"/>
              </w:rPr>
            </w:pPr>
          </w:p>
        </w:tc>
        <w:tc>
          <w:tcPr>
            <w:tcW w:w="796" w:type="dxa"/>
            <w:vMerge w:val="restart"/>
            <w:shd w:val="clear" w:color="auto" w:fill="E2EFDA" w:themeFill="accent6" w:themeFillTint="32"/>
            <w:vAlign w:val="center"/>
          </w:tcPr>
          <w:p>
            <w:pPr>
              <w:widowControl/>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rPr>
              <w:t>王洪</w:t>
            </w:r>
          </w:p>
        </w:tc>
        <w:tc>
          <w:tcPr>
            <w:tcW w:w="1262" w:type="dxa"/>
            <w:vMerge w:val="restart"/>
            <w:shd w:val="clear" w:color="auto" w:fill="E2EFDA" w:themeFill="accent6" w:themeFillTint="32"/>
            <w:vAlign w:val="center"/>
          </w:tcPr>
          <w:p>
            <w:pPr>
              <w:widowControl/>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rPr>
              <w:t>17396222933</w:t>
            </w:r>
          </w:p>
        </w:tc>
        <w:tc>
          <w:tcPr>
            <w:tcW w:w="975" w:type="dxa"/>
            <w:vMerge w:val="restart"/>
            <w:shd w:val="clear" w:color="auto" w:fill="E2EFDA" w:themeFill="accent6" w:themeFillTint="32"/>
            <w:vAlign w:val="center"/>
          </w:tcPr>
          <w:p>
            <w:pPr>
              <w:widowControl/>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长期有效</w:t>
            </w:r>
          </w:p>
        </w:tc>
        <w:tc>
          <w:tcPr>
            <w:tcW w:w="779" w:type="dxa"/>
            <w:vMerge w:val="restart"/>
            <w:tcBorders>
              <w:right w:val="single" w:color="auto" w:sz="4" w:space="0"/>
            </w:tcBorders>
            <w:shd w:val="clear" w:color="auto" w:fill="E2EFDA" w:themeFill="accent6" w:themeFillTint="32"/>
            <w:vAlign w:val="center"/>
          </w:tcPr>
          <w:p>
            <w:pPr>
              <w:widowControl/>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西部</w:t>
            </w:r>
          </w:p>
          <w:p>
            <w:pPr>
              <w:widowControl/>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电商</w:t>
            </w:r>
          </w:p>
          <w:p>
            <w:pPr>
              <w:widowControl/>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物流</w:t>
            </w:r>
          </w:p>
          <w:p>
            <w:pPr>
              <w:widowControl/>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产业</w:t>
            </w:r>
          </w:p>
          <w:p>
            <w:pPr>
              <w:widowControl/>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功能区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1146" w:hRule="atLeast"/>
        </w:trPr>
        <w:tc>
          <w:tcPr>
            <w:tcW w:w="1248" w:type="dxa"/>
            <w:vMerge w:val="continue"/>
            <w:tcBorders>
              <w:left w:val="single" w:color="auto" w:sz="4" w:space="0"/>
            </w:tcBorders>
            <w:shd w:val="clear" w:color="auto" w:fill="A8D08D" w:themeFill="accent6" w:themeFillTint="99"/>
            <w:vAlign w:val="center"/>
          </w:tcPr>
          <w:p>
            <w:pPr>
              <w:widowControl/>
              <w:spacing w:line="240" w:lineRule="exact"/>
              <w:jc w:val="center"/>
              <w:rPr>
                <w:rFonts w:ascii="方正兰亭黑_GBK" w:hAnsi="方正兰亭黑_GBK" w:eastAsia="方正兰亭黑_GBK" w:cs="方正兰亭黑_GBK"/>
                <w:color w:val="000000"/>
                <w:sz w:val="18"/>
                <w:szCs w:val="18"/>
              </w:rPr>
            </w:pPr>
          </w:p>
        </w:tc>
        <w:tc>
          <w:tcPr>
            <w:tcW w:w="2178" w:type="dxa"/>
            <w:vMerge w:val="continue"/>
            <w:shd w:val="clear" w:color="auto" w:fill="C5E0B3" w:themeFill="accent6" w:themeFillTint="66"/>
            <w:vAlign w:val="center"/>
          </w:tcPr>
          <w:p>
            <w:pPr>
              <w:widowControl/>
              <w:spacing w:line="240" w:lineRule="exact"/>
              <w:jc w:val="center"/>
              <w:rPr>
                <w:rFonts w:asciiTheme="minorEastAsia" w:hAnsiTheme="minorEastAsia" w:eastAsiaTheme="minorEastAsia" w:cstheme="minorEastAsia"/>
                <w:sz w:val="18"/>
                <w:szCs w:val="18"/>
              </w:rPr>
            </w:pPr>
          </w:p>
        </w:tc>
        <w:tc>
          <w:tcPr>
            <w:tcW w:w="645" w:type="dxa"/>
            <w:vMerge w:val="restart"/>
            <w:shd w:val="clear" w:color="auto" w:fill="E2EFDA" w:themeFill="accent6" w:themeFillTint="32"/>
            <w:vAlign w:val="center"/>
          </w:tcPr>
          <w:p>
            <w:pPr>
              <w:widowControl/>
              <w:spacing w:line="240" w:lineRule="exact"/>
              <w:jc w:val="center"/>
              <w:rPr>
                <w:rFonts w:hint="eastAsia" w:ascii="方正兰亭黑_GBK" w:hAnsi="方正兰亭黑_GBK" w:eastAsia="方正兰亭黑_GBK" w:cs="方正兰亭黑_GBK"/>
                <w:color w:val="000000"/>
                <w:sz w:val="18"/>
                <w:szCs w:val="18"/>
                <w:lang w:eastAsia="zh-CN"/>
              </w:rPr>
            </w:pPr>
            <w:r>
              <w:rPr>
                <w:rFonts w:hint="eastAsia" w:eastAsia="方正黑体_GBK" w:cs="Times New Roman"/>
                <w:color w:val="000000"/>
                <w:sz w:val="18"/>
                <w:szCs w:val="18"/>
                <w:lang w:eastAsia="zh-CN"/>
              </w:rPr>
              <w:t>基础设施建设</w:t>
            </w:r>
          </w:p>
        </w:tc>
        <w:tc>
          <w:tcPr>
            <w:tcW w:w="990" w:type="dxa"/>
            <w:shd w:val="clear" w:color="auto" w:fill="E2EFDA" w:themeFill="accent6" w:themeFillTint="32"/>
            <w:vAlign w:val="center"/>
          </w:tcPr>
          <w:p>
            <w:pPr>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平台建设</w:t>
            </w:r>
          </w:p>
        </w:tc>
        <w:tc>
          <w:tcPr>
            <w:tcW w:w="4578" w:type="dxa"/>
            <w:shd w:val="clear" w:color="auto" w:fill="E2EFDA" w:themeFill="accent6" w:themeFillTint="32"/>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项目地点：成都市</w:t>
            </w:r>
          </w:p>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Theme="minorEastAsia" w:hAnsiTheme="minorEastAsia" w:eastAsiaTheme="minorEastAsia" w:cstheme="minorEastAsia"/>
                <w:color w:val="000000"/>
                <w:sz w:val="18"/>
                <w:szCs w:val="18"/>
                <w:lang w:eastAsia="zh-CN"/>
              </w:rPr>
            </w:pPr>
            <w:r>
              <w:rPr>
                <w:rFonts w:hint="eastAsia" w:asciiTheme="minorEastAsia" w:hAnsiTheme="minorEastAsia" w:eastAsiaTheme="minorEastAsia" w:cstheme="minorEastAsia"/>
                <w:color w:val="000000"/>
                <w:sz w:val="18"/>
                <w:szCs w:val="18"/>
              </w:rPr>
              <w:t>建设内容：到家鲜24小时网络商城小程序定制开发</w:t>
            </w:r>
            <w:r>
              <w:rPr>
                <w:rFonts w:hint="eastAsia" w:asciiTheme="minorEastAsia" w:hAnsiTheme="minorEastAsia" w:eastAsiaTheme="minorEastAsia" w:cstheme="minorEastAsia"/>
                <w:color w:val="000000"/>
                <w:sz w:val="18"/>
                <w:szCs w:val="18"/>
                <w:lang w:eastAsia="zh-CN"/>
              </w:rPr>
              <w:t>升级</w:t>
            </w:r>
          </w:p>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估算投资：200万元</w:t>
            </w:r>
          </w:p>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color w:val="000000"/>
                <w:sz w:val="18"/>
                <w:szCs w:val="18"/>
              </w:rPr>
              <w:t>具体需求：</w:t>
            </w:r>
            <w:r>
              <w:rPr>
                <w:rFonts w:hint="eastAsia" w:asciiTheme="minorEastAsia" w:hAnsiTheme="minorEastAsia" w:eastAsiaTheme="minorEastAsia" w:cstheme="minorEastAsia"/>
                <w:color w:val="000000"/>
                <w:sz w:val="18"/>
                <w:szCs w:val="18"/>
                <w:lang w:eastAsia="zh-CN"/>
              </w:rPr>
              <w:t>引入</w:t>
            </w:r>
            <w:r>
              <w:rPr>
                <w:rFonts w:hint="eastAsia" w:asciiTheme="minorEastAsia" w:hAnsiTheme="minorEastAsia" w:eastAsiaTheme="minorEastAsia" w:cstheme="minorEastAsia"/>
                <w:color w:val="000000"/>
                <w:sz w:val="18"/>
                <w:szCs w:val="18"/>
              </w:rPr>
              <w:t>第三方互联网公司合作</w:t>
            </w:r>
          </w:p>
        </w:tc>
        <w:tc>
          <w:tcPr>
            <w:tcW w:w="851" w:type="dxa"/>
            <w:vMerge w:val="continue"/>
            <w:shd w:val="clear" w:color="auto" w:fill="E2EFDA" w:themeFill="accent6" w:themeFillTint="32"/>
            <w:vAlign w:val="center"/>
          </w:tcPr>
          <w:p>
            <w:pPr>
              <w:spacing w:line="240" w:lineRule="exact"/>
              <w:jc w:val="center"/>
              <w:rPr>
                <w:rFonts w:hint="eastAsia" w:asciiTheme="minorEastAsia" w:hAnsiTheme="minorEastAsia" w:eastAsiaTheme="minorEastAsia" w:cstheme="minorEastAsia"/>
                <w:sz w:val="18"/>
                <w:szCs w:val="18"/>
              </w:rPr>
            </w:pPr>
          </w:p>
        </w:tc>
        <w:tc>
          <w:tcPr>
            <w:tcW w:w="796" w:type="dxa"/>
            <w:vMerge w:val="continue"/>
            <w:shd w:val="clear" w:color="auto" w:fill="E2EFDA" w:themeFill="accent6" w:themeFillTint="32"/>
            <w:vAlign w:val="center"/>
          </w:tcPr>
          <w:p>
            <w:pPr>
              <w:spacing w:line="240" w:lineRule="exact"/>
              <w:jc w:val="center"/>
              <w:rPr>
                <w:rFonts w:hint="eastAsia" w:asciiTheme="minorEastAsia" w:hAnsiTheme="minorEastAsia" w:eastAsiaTheme="minorEastAsia" w:cstheme="minorEastAsia"/>
                <w:sz w:val="18"/>
                <w:szCs w:val="18"/>
              </w:rPr>
            </w:pPr>
          </w:p>
        </w:tc>
        <w:tc>
          <w:tcPr>
            <w:tcW w:w="1262" w:type="dxa"/>
            <w:vMerge w:val="continue"/>
            <w:shd w:val="clear" w:color="auto" w:fill="E2EFDA" w:themeFill="accent6" w:themeFillTint="32"/>
            <w:vAlign w:val="center"/>
          </w:tcPr>
          <w:p>
            <w:pPr>
              <w:spacing w:line="240" w:lineRule="exact"/>
              <w:jc w:val="center"/>
              <w:rPr>
                <w:rFonts w:hint="eastAsia" w:asciiTheme="minorEastAsia" w:hAnsiTheme="minorEastAsia" w:eastAsiaTheme="minorEastAsia" w:cstheme="minorEastAsia"/>
                <w:sz w:val="18"/>
                <w:szCs w:val="18"/>
              </w:rPr>
            </w:pPr>
          </w:p>
        </w:tc>
        <w:tc>
          <w:tcPr>
            <w:tcW w:w="975" w:type="dxa"/>
            <w:vMerge w:val="continue"/>
            <w:shd w:val="clear" w:color="auto" w:fill="E2EFDA" w:themeFill="accent6" w:themeFillTint="32"/>
            <w:vAlign w:val="center"/>
          </w:tcPr>
          <w:p>
            <w:pPr>
              <w:spacing w:line="240" w:lineRule="exact"/>
              <w:jc w:val="center"/>
              <w:rPr>
                <w:rFonts w:hint="eastAsia" w:asciiTheme="minorEastAsia" w:hAnsiTheme="minorEastAsia" w:eastAsiaTheme="minorEastAsia" w:cstheme="minorEastAsia"/>
                <w:sz w:val="18"/>
                <w:szCs w:val="18"/>
              </w:rPr>
            </w:pPr>
          </w:p>
        </w:tc>
        <w:tc>
          <w:tcPr>
            <w:tcW w:w="779" w:type="dxa"/>
            <w:vMerge w:val="continue"/>
            <w:tcBorders>
              <w:right w:val="single" w:color="auto" w:sz="4" w:space="0"/>
            </w:tcBorders>
            <w:shd w:val="clear" w:color="auto" w:fill="E2EFDA" w:themeFill="accent6" w:themeFillTint="32"/>
            <w:vAlign w:val="center"/>
          </w:tcPr>
          <w:p>
            <w:pPr>
              <w:widowControl/>
              <w:spacing w:line="240" w:lineRule="exact"/>
              <w:jc w:val="center"/>
              <w:rPr>
                <w:rFonts w:hint="eastAsia" w:ascii="方正兰亭黑_GBK" w:hAnsi="方正兰亭黑_GBK" w:eastAsia="方正兰亭黑_GBK" w:cs="方正兰亭黑_GBK"/>
                <w:color w:val="00000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1626" w:hRule="atLeast"/>
        </w:trPr>
        <w:tc>
          <w:tcPr>
            <w:tcW w:w="1248" w:type="dxa"/>
            <w:vMerge w:val="continue"/>
            <w:tcBorders>
              <w:left w:val="single" w:color="auto" w:sz="4" w:space="0"/>
            </w:tcBorders>
            <w:shd w:val="clear" w:color="auto" w:fill="A8D08D" w:themeFill="accent6" w:themeFillTint="99"/>
            <w:vAlign w:val="center"/>
          </w:tcPr>
          <w:p>
            <w:pPr>
              <w:widowControl/>
              <w:spacing w:line="240" w:lineRule="exact"/>
              <w:jc w:val="center"/>
              <w:rPr>
                <w:rFonts w:ascii="方正兰亭黑_GBK" w:hAnsi="方正兰亭黑_GBK" w:eastAsia="方正兰亭黑_GBK" w:cs="方正兰亭黑_GBK"/>
                <w:color w:val="000000"/>
                <w:sz w:val="18"/>
                <w:szCs w:val="18"/>
              </w:rPr>
            </w:pPr>
          </w:p>
        </w:tc>
        <w:tc>
          <w:tcPr>
            <w:tcW w:w="2178" w:type="dxa"/>
            <w:vMerge w:val="continue"/>
            <w:shd w:val="clear" w:color="auto" w:fill="C5E0B3" w:themeFill="accent6" w:themeFillTint="66"/>
            <w:vAlign w:val="center"/>
          </w:tcPr>
          <w:p>
            <w:pPr>
              <w:widowControl/>
              <w:spacing w:line="240" w:lineRule="exact"/>
              <w:jc w:val="center"/>
              <w:rPr>
                <w:rFonts w:asciiTheme="minorEastAsia" w:hAnsiTheme="minorEastAsia" w:eastAsiaTheme="minorEastAsia" w:cstheme="minorEastAsia"/>
                <w:sz w:val="18"/>
                <w:szCs w:val="18"/>
              </w:rPr>
            </w:pPr>
          </w:p>
        </w:tc>
        <w:tc>
          <w:tcPr>
            <w:tcW w:w="645" w:type="dxa"/>
            <w:vMerge w:val="continue"/>
            <w:shd w:val="clear" w:color="auto" w:fill="E2EFDA" w:themeFill="accent6" w:themeFillTint="32"/>
            <w:vAlign w:val="center"/>
          </w:tcPr>
          <w:p>
            <w:pPr>
              <w:widowControl/>
              <w:spacing w:line="240" w:lineRule="exact"/>
              <w:jc w:val="center"/>
              <w:rPr>
                <w:rFonts w:ascii="方正兰亭黑_GBK" w:hAnsi="方正兰亭黑_GBK" w:eastAsia="方正兰亭黑_GBK" w:cs="方正兰亭黑_GBK"/>
                <w:color w:val="000000"/>
                <w:sz w:val="18"/>
                <w:szCs w:val="18"/>
              </w:rPr>
            </w:pPr>
          </w:p>
        </w:tc>
        <w:tc>
          <w:tcPr>
            <w:tcW w:w="990" w:type="dxa"/>
            <w:shd w:val="clear" w:color="auto" w:fill="E2EFDA" w:themeFill="accent6" w:themeFillTint="32"/>
            <w:vAlign w:val="center"/>
          </w:tcPr>
          <w:p>
            <w:pPr>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平台运营</w:t>
            </w:r>
          </w:p>
        </w:tc>
        <w:tc>
          <w:tcPr>
            <w:tcW w:w="4578" w:type="dxa"/>
            <w:shd w:val="clear" w:color="auto" w:fill="E2EFDA" w:themeFill="accent6" w:themeFillTint="32"/>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项目地点：成都市简阳市电子商务服务中心第6层624办公室</w:t>
            </w:r>
          </w:p>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Theme="minorEastAsia" w:hAnsiTheme="minorEastAsia" w:eastAsiaTheme="minorEastAsia" w:cstheme="minorEastAsia"/>
                <w:color w:val="000000"/>
                <w:sz w:val="18"/>
                <w:szCs w:val="18"/>
                <w:lang w:eastAsia="zh-CN"/>
              </w:rPr>
            </w:pPr>
            <w:r>
              <w:rPr>
                <w:rFonts w:hint="eastAsia" w:asciiTheme="minorEastAsia" w:hAnsiTheme="minorEastAsia" w:eastAsiaTheme="minorEastAsia" w:cstheme="minorEastAsia"/>
                <w:color w:val="000000"/>
                <w:sz w:val="18"/>
                <w:szCs w:val="18"/>
              </w:rPr>
              <w:t>建设内容：到家鲜24小时网络商城</w:t>
            </w:r>
            <w:r>
              <w:rPr>
                <w:rFonts w:hint="eastAsia" w:asciiTheme="minorEastAsia" w:hAnsiTheme="minorEastAsia" w:eastAsiaTheme="minorEastAsia" w:cstheme="minorEastAsia"/>
                <w:color w:val="000000"/>
                <w:sz w:val="18"/>
                <w:szCs w:val="18"/>
                <w:lang w:eastAsia="zh-CN"/>
              </w:rPr>
              <w:t>平台</w:t>
            </w:r>
            <w:r>
              <w:rPr>
                <w:rFonts w:hint="eastAsia" w:asciiTheme="minorEastAsia" w:hAnsiTheme="minorEastAsia" w:eastAsiaTheme="minorEastAsia" w:cstheme="minorEastAsia"/>
                <w:color w:val="000000"/>
                <w:sz w:val="18"/>
                <w:szCs w:val="18"/>
              </w:rPr>
              <w:t>系统设置、分销管理、商品管理、商城设置、营销管理、订单管理、配送管理、内容管理、用户管理、统计管理、插件专区、操作与管理、权限设置</w:t>
            </w:r>
            <w:r>
              <w:rPr>
                <w:rFonts w:hint="eastAsia" w:asciiTheme="minorEastAsia" w:hAnsiTheme="minorEastAsia" w:eastAsiaTheme="minorEastAsia" w:cstheme="minorEastAsia"/>
                <w:color w:val="000000"/>
                <w:sz w:val="18"/>
                <w:szCs w:val="18"/>
                <w:lang w:eastAsia="zh-CN"/>
              </w:rPr>
              <w:t>等</w:t>
            </w:r>
          </w:p>
          <w:p>
            <w:pPr>
              <w:spacing w:line="240" w:lineRule="exact"/>
              <w:jc w:val="left"/>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color w:val="000000"/>
                <w:sz w:val="18"/>
                <w:szCs w:val="18"/>
              </w:rPr>
              <w:t>具体需求：专业的互联网公司</w:t>
            </w:r>
          </w:p>
        </w:tc>
        <w:tc>
          <w:tcPr>
            <w:tcW w:w="851" w:type="dxa"/>
            <w:vMerge w:val="continue"/>
            <w:shd w:val="clear" w:color="auto" w:fill="E2EFDA" w:themeFill="accent6" w:themeFillTint="32"/>
            <w:vAlign w:val="center"/>
          </w:tcPr>
          <w:p>
            <w:pPr>
              <w:spacing w:line="240" w:lineRule="exact"/>
              <w:jc w:val="center"/>
              <w:rPr>
                <w:rFonts w:hint="eastAsia" w:asciiTheme="minorEastAsia" w:hAnsiTheme="minorEastAsia" w:eastAsiaTheme="minorEastAsia" w:cstheme="minorEastAsia"/>
                <w:sz w:val="18"/>
                <w:szCs w:val="18"/>
              </w:rPr>
            </w:pPr>
          </w:p>
        </w:tc>
        <w:tc>
          <w:tcPr>
            <w:tcW w:w="796" w:type="dxa"/>
            <w:shd w:val="clear" w:color="auto" w:fill="E2EFDA" w:themeFill="accent6" w:themeFillTint="32"/>
            <w:vAlign w:val="center"/>
          </w:tcPr>
          <w:p>
            <w:pPr>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rPr>
              <w:t>王芳</w:t>
            </w:r>
          </w:p>
        </w:tc>
        <w:tc>
          <w:tcPr>
            <w:tcW w:w="1262" w:type="dxa"/>
            <w:shd w:val="clear" w:color="auto" w:fill="E2EFDA" w:themeFill="accent6" w:themeFillTint="32"/>
            <w:vAlign w:val="center"/>
          </w:tcPr>
          <w:p>
            <w:pPr>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rPr>
              <w:t>15756330809</w:t>
            </w:r>
          </w:p>
        </w:tc>
        <w:tc>
          <w:tcPr>
            <w:tcW w:w="975" w:type="dxa"/>
            <w:vMerge w:val="continue"/>
            <w:shd w:val="clear" w:color="auto" w:fill="E2EFDA" w:themeFill="accent6" w:themeFillTint="32"/>
            <w:vAlign w:val="center"/>
          </w:tcPr>
          <w:p>
            <w:pPr>
              <w:spacing w:line="240" w:lineRule="exact"/>
              <w:jc w:val="center"/>
              <w:rPr>
                <w:rFonts w:hint="eastAsia" w:asciiTheme="minorEastAsia" w:hAnsiTheme="minorEastAsia" w:eastAsiaTheme="minorEastAsia" w:cstheme="minorEastAsia"/>
                <w:sz w:val="18"/>
                <w:szCs w:val="18"/>
              </w:rPr>
            </w:pPr>
          </w:p>
        </w:tc>
        <w:tc>
          <w:tcPr>
            <w:tcW w:w="779" w:type="dxa"/>
            <w:vMerge w:val="continue"/>
            <w:tcBorders>
              <w:right w:val="single" w:color="auto" w:sz="4" w:space="0"/>
            </w:tcBorders>
            <w:shd w:val="clear" w:color="auto" w:fill="E2EFDA" w:themeFill="accent6" w:themeFillTint="32"/>
            <w:vAlign w:val="center"/>
          </w:tcPr>
          <w:p>
            <w:pPr>
              <w:widowControl/>
              <w:spacing w:line="240" w:lineRule="exact"/>
              <w:jc w:val="center"/>
              <w:rPr>
                <w:rFonts w:hint="eastAsia" w:ascii="方正兰亭黑_GBK" w:hAnsi="方正兰亭黑_GBK" w:eastAsia="方正兰亭黑_GBK" w:cs="方正兰亭黑_GBK"/>
                <w:color w:val="00000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567" w:hRule="atLeast"/>
        </w:trPr>
        <w:tc>
          <w:tcPr>
            <w:tcW w:w="1248" w:type="dxa"/>
            <w:vMerge w:val="restart"/>
            <w:tcBorders>
              <w:left w:val="single" w:color="auto" w:sz="4" w:space="0"/>
            </w:tcBorders>
            <w:shd w:val="clear" w:color="auto" w:fill="A8D08D" w:themeFill="accent6" w:themeFillTint="99"/>
            <w:vAlign w:val="center"/>
          </w:tcPr>
          <w:p>
            <w:pPr>
              <w:widowControl/>
              <w:spacing w:line="240" w:lineRule="exact"/>
              <w:jc w:val="center"/>
              <w:rPr>
                <w:rFonts w:hint="eastAsia" w:ascii="方正兰亭黑_GBK" w:hAnsi="方正兰亭黑_GBK" w:eastAsia="方正兰亭黑_GBK" w:cs="方正兰亭黑_GBK"/>
                <w:b w:val="0"/>
                <w:bCs w:val="0"/>
                <w:color w:val="auto"/>
                <w:sz w:val="18"/>
                <w:szCs w:val="18"/>
              </w:rPr>
            </w:pPr>
            <w:r>
              <w:rPr>
                <w:rFonts w:hint="eastAsia" w:ascii="方正兰亭黑_GBK" w:hAnsi="方正兰亭黑_GBK" w:eastAsia="方正兰亭黑_GBK" w:cs="方正兰亭黑_GBK"/>
                <w:b w:val="0"/>
                <w:bCs w:val="0"/>
                <w:color w:val="auto"/>
                <w:sz w:val="18"/>
                <w:szCs w:val="18"/>
              </w:rPr>
              <w:t>到家鲜24小时网络商城平台</w:t>
            </w:r>
          </w:p>
          <w:p>
            <w:pPr>
              <w:widowControl/>
              <w:spacing w:line="240" w:lineRule="exact"/>
              <w:jc w:val="center"/>
              <w:rPr>
                <w:rFonts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b w:val="0"/>
                <w:bCs w:val="0"/>
                <w:color w:val="auto"/>
                <w:sz w:val="16"/>
                <w:szCs w:val="16"/>
                <w:lang w:eastAsia="zh-CN"/>
              </w:rPr>
              <w:t>（成都简阳）</w:t>
            </w:r>
          </w:p>
        </w:tc>
        <w:tc>
          <w:tcPr>
            <w:tcW w:w="2178" w:type="dxa"/>
            <w:vMerge w:val="restart"/>
            <w:shd w:val="clear" w:color="auto" w:fill="C5E0B3" w:themeFill="accent6" w:themeFillTint="66"/>
            <w:vAlign w:val="center"/>
          </w:tcPr>
          <w:p>
            <w:pPr>
              <w:widowControl/>
              <w:spacing w:line="240" w:lineRule="exact"/>
              <w:jc w:val="both"/>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color w:val="auto"/>
                <w:spacing w:val="-6"/>
                <w:sz w:val="18"/>
                <w:szCs w:val="18"/>
                <w:lang w:eastAsia="zh-CN"/>
              </w:rPr>
              <w:t>专业化奶制品配送及管理平台，基于平台大数据，根据消费者喜好与需求，对传统供应链成本进行压缩，为消费者提供公平且最具性价比的选择，同时解决乳业代理商送奶员、促销员招工难、客户缺乏粘性等问题，打造奶制品“新电子商务”平台</w:t>
            </w:r>
          </w:p>
        </w:tc>
        <w:tc>
          <w:tcPr>
            <w:tcW w:w="645" w:type="dxa"/>
            <w:shd w:val="clear" w:color="auto" w:fill="E2EFDA" w:themeFill="accent6" w:themeFillTint="32"/>
            <w:vAlign w:val="center"/>
          </w:tcPr>
          <w:p>
            <w:pPr>
              <w:widowControl/>
              <w:spacing w:line="240" w:lineRule="exact"/>
              <w:jc w:val="center"/>
              <w:rPr>
                <w:rFonts w:ascii="方正兰亭黑_GBK" w:hAnsi="方正兰亭黑_GBK" w:eastAsia="方正兰亭黑_GBK" w:cs="方正兰亭黑_GBK"/>
                <w:color w:val="000000"/>
                <w:sz w:val="18"/>
                <w:szCs w:val="18"/>
              </w:rPr>
            </w:pPr>
            <w:r>
              <w:rPr>
                <w:rFonts w:hint="default" w:ascii="Times New Roman" w:hAnsi="Times New Roman" w:eastAsia="方正黑体_GBK" w:cs="Times New Roman"/>
                <w:color w:val="000000"/>
                <w:sz w:val="18"/>
                <w:szCs w:val="18"/>
              </w:rPr>
              <w:t>项目建设需求</w:t>
            </w:r>
          </w:p>
        </w:tc>
        <w:tc>
          <w:tcPr>
            <w:tcW w:w="990" w:type="dxa"/>
            <w:shd w:val="clear" w:color="auto" w:fill="E2EFDA" w:themeFill="accent6" w:themeFillTint="32"/>
            <w:vAlign w:val="center"/>
          </w:tcPr>
          <w:p>
            <w:pPr>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融资需求</w:t>
            </w:r>
          </w:p>
        </w:tc>
        <w:tc>
          <w:tcPr>
            <w:tcW w:w="4578" w:type="dxa"/>
            <w:shd w:val="clear" w:color="auto" w:fill="E2EFDA" w:themeFill="accent6" w:themeFillTint="32"/>
            <w:vAlign w:val="cente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项目地点：成都市简阳市电子商务服务中心第6层624办公室</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Theme="minorEastAsia" w:hAnsiTheme="minorEastAsia" w:eastAsiaTheme="minorEastAsia" w:cstheme="minorEastAsia"/>
                <w:color w:val="000000"/>
                <w:sz w:val="18"/>
                <w:szCs w:val="18"/>
                <w:lang w:eastAsia="zh-CN"/>
              </w:rPr>
            </w:pPr>
            <w:r>
              <w:rPr>
                <w:rFonts w:hint="eastAsia" w:asciiTheme="minorEastAsia" w:hAnsiTheme="minorEastAsia" w:eastAsiaTheme="minorEastAsia" w:cstheme="minorEastAsia"/>
                <w:color w:val="000000"/>
                <w:sz w:val="18"/>
                <w:szCs w:val="18"/>
              </w:rPr>
              <w:t>建设内容：到家鲜24小时网络商城小程序定制开发</w:t>
            </w:r>
            <w:r>
              <w:rPr>
                <w:rFonts w:hint="eastAsia" w:asciiTheme="minorEastAsia" w:hAnsiTheme="minorEastAsia" w:eastAsiaTheme="minorEastAsia" w:cstheme="minorEastAsia"/>
                <w:color w:val="000000"/>
                <w:sz w:val="18"/>
                <w:szCs w:val="18"/>
                <w:lang w:eastAsia="zh-CN"/>
              </w:rPr>
              <w:t>升级</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估算投资：200万</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融资额度：100万元</w:t>
            </w:r>
          </w:p>
          <w:p>
            <w:pPr>
              <w:pStyle w:val="2"/>
              <w:keepNext w:val="0"/>
              <w:keepLines w:val="0"/>
              <w:pageBreakBefore w:val="0"/>
              <w:widowControl/>
              <w:kinsoku/>
              <w:wordWrap/>
              <w:overflowPunct/>
              <w:topLinePunct w:val="0"/>
              <w:autoSpaceDE/>
              <w:autoSpaceDN/>
              <w:bidi w:val="0"/>
              <w:adjustRightInd/>
              <w:snapToGrid/>
              <w:spacing w:line="220" w:lineRule="exact"/>
              <w:textAlignment w:val="auto"/>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color w:val="000000"/>
                <w:sz w:val="18"/>
                <w:szCs w:val="18"/>
                <w:lang w:eastAsia="zh-CN"/>
              </w:rPr>
              <w:t>融资方式：股权</w:t>
            </w:r>
            <w:r>
              <w:rPr>
                <w:rFonts w:hint="eastAsia" w:asciiTheme="minorEastAsia" w:hAnsiTheme="minorEastAsia" w:eastAsiaTheme="minorEastAsia" w:cstheme="minorEastAsia"/>
                <w:color w:val="000000"/>
                <w:sz w:val="18"/>
                <w:szCs w:val="18"/>
                <w:lang w:val="en-US" w:eastAsia="zh-CN"/>
              </w:rPr>
              <w:t>/期权</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color w:val="000000"/>
                <w:sz w:val="18"/>
                <w:szCs w:val="18"/>
              </w:rPr>
              <w:t>需求对象：资源乳企、资源合作商、资源银行优先</w:t>
            </w:r>
          </w:p>
        </w:tc>
        <w:tc>
          <w:tcPr>
            <w:tcW w:w="851" w:type="dxa"/>
            <w:vMerge w:val="restart"/>
            <w:shd w:val="clear" w:color="auto" w:fill="E2EFDA" w:themeFill="accent6" w:themeFillTint="32"/>
            <w:vAlign w:val="center"/>
          </w:tcPr>
          <w:p>
            <w:pPr>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四川</w:t>
            </w:r>
          </w:p>
          <w:p>
            <w:pPr>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到家鲜科技</w:t>
            </w:r>
          </w:p>
          <w:p>
            <w:pPr>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有限</w:t>
            </w:r>
          </w:p>
          <w:p>
            <w:pPr>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rPr>
              <w:t>公司</w:t>
            </w:r>
          </w:p>
        </w:tc>
        <w:tc>
          <w:tcPr>
            <w:tcW w:w="796" w:type="dxa"/>
            <w:vMerge w:val="restart"/>
            <w:shd w:val="clear" w:color="auto" w:fill="E2EFDA" w:themeFill="accent6" w:themeFillTint="32"/>
            <w:vAlign w:val="center"/>
          </w:tcPr>
          <w:p>
            <w:pPr>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rPr>
              <w:t>王洪</w:t>
            </w:r>
          </w:p>
        </w:tc>
        <w:tc>
          <w:tcPr>
            <w:tcW w:w="1262" w:type="dxa"/>
            <w:vMerge w:val="restart"/>
            <w:shd w:val="clear" w:color="auto" w:fill="E2EFDA" w:themeFill="accent6" w:themeFillTint="32"/>
            <w:vAlign w:val="center"/>
          </w:tcPr>
          <w:p>
            <w:pPr>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rPr>
              <w:t>17396222933</w:t>
            </w:r>
          </w:p>
        </w:tc>
        <w:tc>
          <w:tcPr>
            <w:tcW w:w="975" w:type="dxa"/>
            <w:vMerge w:val="restart"/>
            <w:shd w:val="clear" w:color="auto" w:fill="E2EFDA" w:themeFill="accent6" w:themeFillTint="32"/>
            <w:vAlign w:val="center"/>
          </w:tcPr>
          <w:p>
            <w:pPr>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lang w:eastAsia="zh-CN"/>
              </w:rPr>
              <w:t>长期有效</w:t>
            </w:r>
          </w:p>
        </w:tc>
        <w:tc>
          <w:tcPr>
            <w:tcW w:w="779" w:type="dxa"/>
            <w:vMerge w:val="restart"/>
            <w:tcBorders>
              <w:right w:val="single" w:color="auto" w:sz="4" w:space="0"/>
            </w:tcBorders>
            <w:shd w:val="clear" w:color="auto" w:fill="E2EFDA" w:themeFill="accent6" w:themeFillTint="32"/>
            <w:vAlign w:val="center"/>
          </w:tcPr>
          <w:p>
            <w:pPr>
              <w:widowControl/>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西部</w:t>
            </w:r>
          </w:p>
          <w:p>
            <w:pPr>
              <w:widowControl/>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电商</w:t>
            </w:r>
          </w:p>
          <w:p>
            <w:pPr>
              <w:widowControl/>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物流</w:t>
            </w:r>
          </w:p>
          <w:p>
            <w:pPr>
              <w:widowControl/>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产业</w:t>
            </w:r>
          </w:p>
          <w:p>
            <w:pPr>
              <w:widowControl/>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功能区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567" w:hRule="atLeast"/>
        </w:trPr>
        <w:tc>
          <w:tcPr>
            <w:tcW w:w="1248" w:type="dxa"/>
            <w:vMerge w:val="continue"/>
            <w:tcBorders>
              <w:left w:val="single" w:color="auto" w:sz="4" w:space="0"/>
            </w:tcBorders>
            <w:shd w:val="clear" w:color="auto" w:fill="A8D08D" w:themeFill="accent6" w:themeFillTint="99"/>
            <w:vAlign w:val="center"/>
          </w:tcPr>
          <w:p>
            <w:pPr>
              <w:widowControl/>
              <w:spacing w:line="240" w:lineRule="exact"/>
              <w:jc w:val="center"/>
              <w:rPr>
                <w:rFonts w:ascii="方正兰亭黑_GBK" w:hAnsi="方正兰亭黑_GBK" w:eastAsia="方正兰亭黑_GBK" w:cs="方正兰亭黑_GBK"/>
                <w:color w:val="000000"/>
                <w:sz w:val="18"/>
                <w:szCs w:val="18"/>
              </w:rPr>
            </w:pPr>
          </w:p>
        </w:tc>
        <w:tc>
          <w:tcPr>
            <w:tcW w:w="2178" w:type="dxa"/>
            <w:vMerge w:val="continue"/>
            <w:shd w:val="clear" w:color="auto" w:fill="C5E0B3" w:themeFill="accent6" w:themeFillTint="66"/>
            <w:vAlign w:val="center"/>
          </w:tcPr>
          <w:p>
            <w:pPr>
              <w:widowControl/>
              <w:spacing w:line="240" w:lineRule="exact"/>
              <w:jc w:val="center"/>
              <w:rPr>
                <w:rFonts w:asciiTheme="minorEastAsia" w:hAnsiTheme="minorEastAsia" w:eastAsiaTheme="minorEastAsia" w:cstheme="minorEastAsia"/>
                <w:sz w:val="18"/>
                <w:szCs w:val="18"/>
              </w:rPr>
            </w:pPr>
          </w:p>
        </w:tc>
        <w:tc>
          <w:tcPr>
            <w:tcW w:w="645" w:type="dxa"/>
            <w:shd w:val="clear" w:color="auto" w:fill="E2EFDA" w:themeFill="accent6" w:themeFillTint="32"/>
            <w:vAlign w:val="center"/>
          </w:tcPr>
          <w:p>
            <w:pPr>
              <w:widowControl/>
              <w:spacing w:line="240" w:lineRule="exact"/>
              <w:jc w:val="center"/>
              <w:rPr>
                <w:rFonts w:hint="default" w:ascii="Times New Roman" w:hAnsi="Times New Roman" w:eastAsia="方正黑体_GBK" w:cs="Times New Roman"/>
                <w:color w:val="000000"/>
                <w:sz w:val="18"/>
                <w:szCs w:val="18"/>
              </w:rPr>
            </w:pPr>
            <w:r>
              <w:rPr>
                <w:rFonts w:hint="default" w:ascii="Times New Roman" w:hAnsi="Times New Roman" w:eastAsia="方正黑体_GBK" w:cs="Times New Roman"/>
                <w:color w:val="000000"/>
                <w:sz w:val="18"/>
                <w:szCs w:val="18"/>
              </w:rPr>
              <w:t>技术</w:t>
            </w:r>
          </w:p>
          <w:p>
            <w:pPr>
              <w:widowControl/>
              <w:spacing w:line="240" w:lineRule="exact"/>
              <w:jc w:val="center"/>
              <w:rPr>
                <w:rFonts w:ascii="方正兰亭黑_GBK" w:hAnsi="方正兰亭黑_GBK" w:eastAsia="方正兰亭黑_GBK" w:cs="方正兰亭黑_GBK"/>
                <w:color w:val="000000"/>
                <w:sz w:val="18"/>
                <w:szCs w:val="18"/>
              </w:rPr>
            </w:pPr>
            <w:r>
              <w:rPr>
                <w:rFonts w:hint="default" w:ascii="Times New Roman" w:hAnsi="Times New Roman" w:eastAsia="方正黑体_GBK" w:cs="Times New Roman"/>
                <w:color w:val="000000"/>
                <w:sz w:val="18"/>
                <w:szCs w:val="18"/>
              </w:rPr>
              <w:t>需求</w:t>
            </w:r>
          </w:p>
        </w:tc>
        <w:tc>
          <w:tcPr>
            <w:tcW w:w="990" w:type="dxa"/>
            <w:shd w:val="clear" w:color="auto" w:fill="E2EFDA" w:themeFill="accent6" w:themeFillTint="32"/>
            <w:vAlign w:val="center"/>
          </w:tcPr>
          <w:p>
            <w:pPr>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技术</w:t>
            </w:r>
          </w:p>
          <w:p>
            <w:pPr>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联合攻关</w:t>
            </w:r>
          </w:p>
        </w:tc>
        <w:tc>
          <w:tcPr>
            <w:tcW w:w="4578" w:type="dxa"/>
            <w:shd w:val="clear" w:color="auto" w:fill="E2EFDA" w:themeFill="accent6" w:themeFillTint="32"/>
            <w:vAlign w:val="cente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技术指标：无纸化办公（手机端操作、智能奶箱）</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合作方式：股权</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color w:val="000000"/>
                <w:sz w:val="18"/>
                <w:szCs w:val="18"/>
              </w:rPr>
              <w:t>需求对象：</w:t>
            </w:r>
            <w:r>
              <w:rPr>
                <w:rFonts w:hint="eastAsia" w:asciiTheme="minorEastAsia" w:hAnsiTheme="minorEastAsia" w:eastAsiaTheme="minorEastAsia" w:cstheme="minorEastAsia"/>
                <w:color w:val="000000"/>
                <w:sz w:val="18"/>
                <w:szCs w:val="18"/>
                <w:lang w:eastAsia="zh-CN"/>
              </w:rPr>
              <w:t>全国乳企、供应链相关企业</w:t>
            </w:r>
          </w:p>
        </w:tc>
        <w:tc>
          <w:tcPr>
            <w:tcW w:w="851" w:type="dxa"/>
            <w:vMerge w:val="continue"/>
            <w:shd w:val="clear" w:color="auto" w:fill="E2EFDA" w:themeFill="accent6" w:themeFillTint="32"/>
            <w:vAlign w:val="center"/>
          </w:tcPr>
          <w:p>
            <w:pPr>
              <w:spacing w:line="240" w:lineRule="exact"/>
              <w:jc w:val="center"/>
              <w:rPr>
                <w:rFonts w:hint="eastAsia" w:asciiTheme="minorEastAsia" w:hAnsiTheme="minorEastAsia" w:eastAsiaTheme="minorEastAsia" w:cstheme="minorEastAsia"/>
                <w:sz w:val="18"/>
                <w:szCs w:val="18"/>
              </w:rPr>
            </w:pPr>
          </w:p>
        </w:tc>
        <w:tc>
          <w:tcPr>
            <w:tcW w:w="796" w:type="dxa"/>
            <w:vMerge w:val="continue"/>
            <w:shd w:val="clear" w:color="auto" w:fill="E2EFDA" w:themeFill="accent6" w:themeFillTint="32"/>
            <w:vAlign w:val="center"/>
          </w:tcPr>
          <w:p>
            <w:pPr>
              <w:spacing w:line="240" w:lineRule="exact"/>
              <w:jc w:val="center"/>
              <w:rPr>
                <w:rFonts w:hint="eastAsia" w:asciiTheme="minorEastAsia" w:hAnsiTheme="minorEastAsia" w:eastAsiaTheme="minorEastAsia" w:cstheme="minorEastAsia"/>
                <w:sz w:val="18"/>
                <w:szCs w:val="18"/>
              </w:rPr>
            </w:pPr>
          </w:p>
        </w:tc>
        <w:tc>
          <w:tcPr>
            <w:tcW w:w="1262" w:type="dxa"/>
            <w:vMerge w:val="continue"/>
            <w:shd w:val="clear" w:color="auto" w:fill="E2EFDA" w:themeFill="accent6" w:themeFillTint="32"/>
            <w:vAlign w:val="center"/>
          </w:tcPr>
          <w:p>
            <w:pPr>
              <w:spacing w:line="240" w:lineRule="exact"/>
              <w:jc w:val="center"/>
              <w:rPr>
                <w:rFonts w:hint="eastAsia" w:asciiTheme="minorEastAsia" w:hAnsiTheme="minorEastAsia" w:eastAsiaTheme="minorEastAsia" w:cstheme="minorEastAsia"/>
                <w:sz w:val="18"/>
                <w:szCs w:val="18"/>
              </w:rPr>
            </w:pPr>
          </w:p>
        </w:tc>
        <w:tc>
          <w:tcPr>
            <w:tcW w:w="975" w:type="dxa"/>
            <w:vMerge w:val="continue"/>
            <w:shd w:val="clear" w:color="auto" w:fill="E2EFDA" w:themeFill="accent6" w:themeFillTint="32"/>
            <w:vAlign w:val="center"/>
          </w:tcPr>
          <w:p>
            <w:pPr>
              <w:spacing w:line="240" w:lineRule="exact"/>
              <w:jc w:val="center"/>
              <w:rPr>
                <w:rFonts w:hint="eastAsia" w:asciiTheme="minorEastAsia" w:hAnsiTheme="minorEastAsia" w:eastAsiaTheme="minorEastAsia" w:cstheme="minorEastAsia"/>
                <w:sz w:val="18"/>
                <w:szCs w:val="18"/>
              </w:rPr>
            </w:pPr>
          </w:p>
        </w:tc>
        <w:tc>
          <w:tcPr>
            <w:tcW w:w="779" w:type="dxa"/>
            <w:vMerge w:val="continue"/>
            <w:tcBorders>
              <w:right w:val="single" w:color="auto" w:sz="4" w:space="0"/>
            </w:tcBorders>
            <w:shd w:val="clear" w:color="auto" w:fill="E2EFDA" w:themeFill="accent6" w:themeFillTint="32"/>
            <w:vAlign w:val="center"/>
          </w:tcPr>
          <w:p>
            <w:pPr>
              <w:widowControl/>
              <w:spacing w:line="240" w:lineRule="exact"/>
              <w:jc w:val="center"/>
              <w:rPr>
                <w:rFonts w:hint="eastAsia" w:ascii="方正兰亭黑_GBK" w:hAnsi="方正兰亭黑_GBK" w:eastAsia="方正兰亭黑_GBK" w:cs="方正兰亭黑_GBK"/>
                <w:color w:val="00000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567" w:hRule="atLeast"/>
        </w:trPr>
        <w:tc>
          <w:tcPr>
            <w:tcW w:w="1248" w:type="dxa"/>
            <w:vMerge w:val="continue"/>
            <w:tcBorders>
              <w:left w:val="single" w:color="auto" w:sz="4" w:space="0"/>
            </w:tcBorders>
            <w:shd w:val="clear" w:color="auto" w:fill="A8D08D" w:themeFill="accent6" w:themeFillTint="99"/>
            <w:vAlign w:val="center"/>
          </w:tcPr>
          <w:p>
            <w:pPr>
              <w:widowControl/>
              <w:spacing w:line="240" w:lineRule="exact"/>
              <w:jc w:val="center"/>
              <w:rPr>
                <w:rFonts w:ascii="方正兰亭黑_GBK" w:hAnsi="方正兰亭黑_GBK" w:eastAsia="方正兰亭黑_GBK" w:cs="方正兰亭黑_GBK"/>
                <w:color w:val="000000"/>
                <w:sz w:val="18"/>
                <w:szCs w:val="18"/>
              </w:rPr>
            </w:pPr>
          </w:p>
        </w:tc>
        <w:tc>
          <w:tcPr>
            <w:tcW w:w="2178" w:type="dxa"/>
            <w:vMerge w:val="continue"/>
            <w:shd w:val="clear" w:color="auto" w:fill="C5E0B3" w:themeFill="accent6" w:themeFillTint="66"/>
            <w:vAlign w:val="center"/>
          </w:tcPr>
          <w:p>
            <w:pPr>
              <w:widowControl/>
              <w:spacing w:line="240" w:lineRule="exact"/>
              <w:jc w:val="center"/>
              <w:rPr>
                <w:rFonts w:asciiTheme="minorEastAsia" w:hAnsiTheme="minorEastAsia" w:eastAsiaTheme="minorEastAsia" w:cstheme="minorEastAsia"/>
                <w:sz w:val="18"/>
                <w:szCs w:val="18"/>
              </w:rPr>
            </w:pPr>
          </w:p>
        </w:tc>
        <w:tc>
          <w:tcPr>
            <w:tcW w:w="645" w:type="dxa"/>
            <w:vMerge w:val="restart"/>
            <w:shd w:val="clear" w:color="auto" w:fill="E2EFDA" w:themeFill="accent6" w:themeFillTint="32"/>
            <w:vAlign w:val="center"/>
          </w:tcPr>
          <w:p>
            <w:pPr>
              <w:widowControl/>
              <w:spacing w:line="240" w:lineRule="exact"/>
              <w:jc w:val="center"/>
              <w:rPr>
                <w:rFonts w:hint="default" w:ascii="Times New Roman" w:hAnsi="Times New Roman" w:eastAsia="方正黑体_GBK" w:cs="Times New Roman"/>
                <w:color w:val="000000"/>
                <w:sz w:val="18"/>
                <w:szCs w:val="18"/>
              </w:rPr>
            </w:pPr>
            <w:r>
              <w:rPr>
                <w:rFonts w:hint="default" w:ascii="Times New Roman" w:hAnsi="Times New Roman" w:eastAsia="方正黑体_GBK" w:cs="Times New Roman"/>
                <w:color w:val="000000"/>
                <w:sz w:val="18"/>
                <w:szCs w:val="18"/>
              </w:rPr>
              <w:t>企业</w:t>
            </w:r>
          </w:p>
          <w:p>
            <w:pPr>
              <w:widowControl/>
              <w:spacing w:line="240" w:lineRule="exact"/>
              <w:jc w:val="center"/>
              <w:rPr>
                <w:rFonts w:ascii="方正兰亭黑_GBK" w:hAnsi="方正兰亭黑_GBK" w:eastAsia="方正兰亭黑_GBK" w:cs="方正兰亭黑_GBK"/>
                <w:color w:val="000000"/>
                <w:sz w:val="18"/>
                <w:szCs w:val="18"/>
              </w:rPr>
            </w:pPr>
            <w:r>
              <w:rPr>
                <w:rFonts w:hint="default" w:ascii="Times New Roman" w:hAnsi="Times New Roman" w:eastAsia="方正黑体_GBK" w:cs="Times New Roman"/>
                <w:color w:val="000000"/>
                <w:sz w:val="18"/>
                <w:szCs w:val="18"/>
              </w:rPr>
              <w:t>协作</w:t>
            </w:r>
          </w:p>
        </w:tc>
        <w:tc>
          <w:tcPr>
            <w:tcW w:w="990" w:type="dxa"/>
            <w:shd w:val="clear" w:color="auto" w:fill="E2EFDA" w:themeFill="accent6" w:themeFillTint="32"/>
            <w:vAlign w:val="center"/>
          </w:tcPr>
          <w:p>
            <w:pPr>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一站式</w:t>
            </w:r>
          </w:p>
          <w:p>
            <w:pPr>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平台合作管理</w:t>
            </w:r>
          </w:p>
        </w:tc>
        <w:tc>
          <w:tcPr>
            <w:tcW w:w="4578" w:type="dxa"/>
            <w:shd w:val="clear" w:color="auto" w:fill="E2EFDA" w:themeFill="accent6" w:themeFillTint="32"/>
            <w:vAlign w:val="cente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Theme="minorEastAsia" w:hAnsiTheme="minorEastAsia" w:eastAsiaTheme="minorEastAsia" w:cstheme="minorEastAsia"/>
                <w:color w:val="000000"/>
                <w:sz w:val="18"/>
                <w:szCs w:val="18"/>
                <w:lang w:eastAsia="zh-CN"/>
              </w:rPr>
            </w:pPr>
            <w:r>
              <w:rPr>
                <w:rFonts w:hint="eastAsia" w:asciiTheme="minorEastAsia" w:hAnsiTheme="minorEastAsia" w:eastAsiaTheme="minorEastAsia" w:cstheme="minorEastAsia"/>
                <w:color w:val="000000"/>
                <w:sz w:val="18"/>
                <w:szCs w:val="18"/>
                <w:lang w:val="en-US" w:eastAsia="zh-CN"/>
              </w:rPr>
              <w:t>需求</w:t>
            </w:r>
            <w:r>
              <w:rPr>
                <w:rFonts w:hint="eastAsia" w:asciiTheme="minorEastAsia" w:hAnsiTheme="minorEastAsia" w:eastAsiaTheme="minorEastAsia" w:cstheme="minorEastAsia"/>
                <w:color w:val="000000"/>
                <w:sz w:val="18"/>
                <w:szCs w:val="18"/>
              </w:rPr>
              <w:t>内容：</w:t>
            </w:r>
            <w:r>
              <w:rPr>
                <w:rFonts w:hint="eastAsia" w:asciiTheme="minorEastAsia" w:hAnsiTheme="minorEastAsia" w:eastAsiaTheme="minorEastAsia" w:cstheme="minorEastAsia"/>
                <w:color w:val="000000"/>
                <w:sz w:val="18"/>
                <w:szCs w:val="18"/>
                <w:lang w:eastAsia="zh-CN"/>
              </w:rPr>
              <w:t>商家、平台入驻需求</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color w:val="000000"/>
                <w:sz w:val="18"/>
                <w:szCs w:val="18"/>
                <w:lang w:val="en-US" w:eastAsia="zh-CN"/>
              </w:rPr>
              <w:t>合作</w:t>
            </w:r>
            <w:r>
              <w:rPr>
                <w:rFonts w:hint="eastAsia" w:asciiTheme="minorEastAsia" w:hAnsiTheme="minorEastAsia" w:eastAsiaTheme="minorEastAsia" w:cstheme="minorEastAsia"/>
                <w:color w:val="000000"/>
                <w:sz w:val="18"/>
                <w:szCs w:val="18"/>
                <w:lang w:eastAsia="zh-CN"/>
              </w:rPr>
              <w:t>对象：</w:t>
            </w:r>
            <w:r>
              <w:rPr>
                <w:rFonts w:hint="eastAsia" w:asciiTheme="minorEastAsia" w:hAnsiTheme="minorEastAsia" w:eastAsiaTheme="minorEastAsia" w:cstheme="minorEastAsia"/>
                <w:color w:val="000000"/>
                <w:sz w:val="18"/>
                <w:szCs w:val="18"/>
              </w:rPr>
              <w:t>引入全国乳企（意向客户：简阳杨森、成都菊乐、兰州庄园、青海圣湖）、全国代理商合作平台</w:t>
            </w:r>
          </w:p>
        </w:tc>
        <w:tc>
          <w:tcPr>
            <w:tcW w:w="851" w:type="dxa"/>
            <w:vMerge w:val="continue"/>
            <w:shd w:val="clear" w:color="auto" w:fill="E2EFDA" w:themeFill="accent6" w:themeFillTint="32"/>
            <w:vAlign w:val="center"/>
          </w:tcPr>
          <w:p>
            <w:pPr>
              <w:spacing w:line="240" w:lineRule="exact"/>
              <w:jc w:val="center"/>
              <w:rPr>
                <w:rFonts w:hint="eastAsia" w:asciiTheme="minorEastAsia" w:hAnsiTheme="minorEastAsia" w:eastAsiaTheme="minorEastAsia" w:cstheme="minorEastAsia"/>
                <w:sz w:val="18"/>
                <w:szCs w:val="18"/>
              </w:rPr>
            </w:pPr>
          </w:p>
        </w:tc>
        <w:tc>
          <w:tcPr>
            <w:tcW w:w="796" w:type="dxa"/>
            <w:vMerge w:val="continue"/>
            <w:shd w:val="clear" w:color="auto" w:fill="E2EFDA" w:themeFill="accent6" w:themeFillTint="32"/>
            <w:vAlign w:val="center"/>
          </w:tcPr>
          <w:p>
            <w:pPr>
              <w:spacing w:line="240" w:lineRule="exact"/>
              <w:jc w:val="center"/>
              <w:rPr>
                <w:rFonts w:hint="eastAsia" w:asciiTheme="minorEastAsia" w:hAnsiTheme="minorEastAsia" w:eastAsiaTheme="minorEastAsia" w:cstheme="minorEastAsia"/>
                <w:sz w:val="18"/>
                <w:szCs w:val="18"/>
              </w:rPr>
            </w:pPr>
          </w:p>
        </w:tc>
        <w:tc>
          <w:tcPr>
            <w:tcW w:w="1262" w:type="dxa"/>
            <w:vMerge w:val="continue"/>
            <w:shd w:val="clear" w:color="auto" w:fill="E2EFDA" w:themeFill="accent6" w:themeFillTint="32"/>
            <w:vAlign w:val="center"/>
          </w:tcPr>
          <w:p>
            <w:pPr>
              <w:spacing w:line="240" w:lineRule="exact"/>
              <w:jc w:val="center"/>
              <w:rPr>
                <w:rFonts w:hint="eastAsia" w:asciiTheme="minorEastAsia" w:hAnsiTheme="minorEastAsia" w:eastAsiaTheme="minorEastAsia" w:cstheme="minorEastAsia"/>
                <w:sz w:val="18"/>
                <w:szCs w:val="18"/>
              </w:rPr>
            </w:pPr>
          </w:p>
        </w:tc>
        <w:tc>
          <w:tcPr>
            <w:tcW w:w="975" w:type="dxa"/>
            <w:vMerge w:val="continue"/>
            <w:shd w:val="clear" w:color="auto" w:fill="E2EFDA" w:themeFill="accent6" w:themeFillTint="32"/>
            <w:vAlign w:val="center"/>
          </w:tcPr>
          <w:p>
            <w:pPr>
              <w:spacing w:line="240" w:lineRule="exact"/>
              <w:jc w:val="center"/>
              <w:rPr>
                <w:rFonts w:hint="eastAsia" w:asciiTheme="minorEastAsia" w:hAnsiTheme="minorEastAsia" w:eastAsiaTheme="minorEastAsia" w:cstheme="minorEastAsia"/>
                <w:sz w:val="18"/>
                <w:szCs w:val="18"/>
              </w:rPr>
            </w:pPr>
          </w:p>
        </w:tc>
        <w:tc>
          <w:tcPr>
            <w:tcW w:w="779" w:type="dxa"/>
            <w:vMerge w:val="continue"/>
            <w:tcBorders>
              <w:right w:val="single" w:color="auto" w:sz="4" w:space="0"/>
            </w:tcBorders>
            <w:shd w:val="clear" w:color="auto" w:fill="E2EFDA" w:themeFill="accent6" w:themeFillTint="32"/>
            <w:vAlign w:val="center"/>
          </w:tcPr>
          <w:p>
            <w:pPr>
              <w:widowControl/>
              <w:spacing w:line="240" w:lineRule="exact"/>
              <w:jc w:val="center"/>
              <w:rPr>
                <w:rFonts w:hint="eastAsia" w:ascii="方正兰亭黑_GBK" w:hAnsi="方正兰亭黑_GBK" w:eastAsia="方正兰亭黑_GBK" w:cs="方正兰亭黑_GBK"/>
                <w:color w:val="00000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567" w:hRule="atLeast"/>
        </w:trPr>
        <w:tc>
          <w:tcPr>
            <w:tcW w:w="1248" w:type="dxa"/>
            <w:vMerge w:val="continue"/>
            <w:tcBorders>
              <w:left w:val="single" w:color="auto" w:sz="4" w:space="0"/>
            </w:tcBorders>
            <w:shd w:val="clear" w:color="auto" w:fill="A8D08D" w:themeFill="accent6" w:themeFillTint="99"/>
            <w:vAlign w:val="center"/>
          </w:tcPr>
          <w:p>
            <w:pPr>
              <w:widowControl/>
              <w:spacing w:line="240" w:lineRule="exact"/>
              <w:jc w:val="center"/>
              <w:rPr>
                <w:rFonts w:ascii="方正兰亭黑_GBK" w:hAnsi="方正兰亭黑_GBK" w:eastAsia="方正兰亭黑_GBK" w:cs="方正兰亭黑_GBK"/>
                <w:color w:val="000000"/>
                <w:sz w:val="18"/>
                <w:szCs w:val="18"/>
              </w:rPr>
            </w:pPr>
          </w:p>
        </w:tc>
        <w:tc>
          <w:tcPr>
            <w:tcW w:w="2178" w:type="dxa"/>
            <w:vMerge w:val="continue"/>
            <w:shd w:val="clear" w:color="auto" w:fill="C5E0B3" w:themeFill="accent6" w:themeFillTint="66"/>
            <w:vAlign w:val="center"/>
          </w:tcPr>
          <w:p>
            <w:pPr>
              <w:widowControl/>
              <w:spacing w:line="240" w:lineRule="exact"/>
              <w:jc w:val="center"/>
              <w:rPr>
                <w:rFonts w:asciiTheme="minorEastAsia" w:hAnsiTheme="minorEastAsia" w:eastAsiaTheme="minorEastAsia" w:cstheme="minorEastAsia"/>
                <w:sz w:val="18"/>
                <w:szCs w:val="18"/>
              </w:rPr>
            </w:pPr>
          </w:p>
        </w:tc>
        <w:tc>
          <w:tcPr>
            <w:tcW w:w="645" w:type="dxa"/>
            <w:vMerge w:val="continue"/>
            <w:shd w:val="clear" w:color="auto" w:fill="E2EFDA" w:themeFill="accent6" w:themeFillTint="32"/>
            <w:vAlign w:val="center"/>
          </w:tcPr>
          <w:p>
            <w:pPr>
              <w:widowControl/>
              <w:spacing w:line="240" w:lineRule="exact"/>
              <w:jc w:val="center"/>
              <w:rPr>
                <w:rFonts w:ascii="方正兰亭黑_GBK" w:hAnsi="方正兰亭黑_GBK" w:eastAsia="方正兰亭黑_GBK" w:cs="方正兰亭黑_GBK"/>
                <w:color w:val="000000"/>
                <w:sz w:val="18"/>
                <w:szCs w:val="18"/>
              </w:rPr>
            </w:pPr>
          </w:p>
        </w:tc>
        <w:tc>
          <w:tcPr>
            <w:tcW w:w="990" w:type="dxa"/>
            <w:shd w:val="clear" w:color="auto" w:fill="E2EFDA" w:themeFill="accent6" w:themeFillTint="32"/>
            <w:vAlign w:val="center"/>
          </w:tcPr>
          <w:p>
            <w:pPr>
              <w:spacing w:line="240" w:lineRule="exact"/>
              <w:jc w:val="center"/>
              <w:rPr>
                <w:rFonts w:hint="eastAsia" w:asciiTheme="minorEastAsia" w:hAnsiTheme="minorEastAsia" w:eastAsiaTheme="minorEastAsia" w:cstheme="minorEastAsia"/>
                <w:color w:val="000000"/>
                <w:sz w:val="18"/>
                <w:szCs w:val="18"/>
                <w:lang w:eastAsia="zh-CN"/>
              </w:rPr>
            </w:pPr>
            <w:r>
              <w:rPr>
                <w:rFonts w:hint="eastAsia" w:asciiTheme="minorEastAsia" w:hAnsiTheme="minorEastAsia" w:eastAsiaTheme="minorEastAsia" w:cstheme="minorEastAsia"/>
                <w:color w:val="000000"/>
                <w:sz w:val="18"/>
                <w:szCs w:val="18"/>
                <w:lang w:eastAsia="zh-CN"/>
              </w:rPr>
              <w:t>平台</w:t>
            </w:r>
          </w:p>
          <w:p>
            <w:pPr>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eastAsia="zh-CN"/>
              </w:rPr>
              <w:t>资金结算</w:t>
            </w:r>
          </w:p>
        </w:tc>
        <w:tc>
          <w:tcPr>
            <w:tcW w:w="4578" w:type="dxa"/>
            <w:shd w:val="clear" w:color="auto" w:fill="E2EFDA" w:themeFill="accent6" w:themeFillTint="32"/>
            <w:vAlign w:val="center"/>
          </w:tcPr>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Theme="minorEastAsia" w:hAnsiTheme="minorEastAsia" w:eastAsiaTheme="minorEastAsia" w:cstheme="minorEastAsia"/>
                <w:color w:val="000000"/>
                <w:sz w:val="18"/>
                <w:szCs w:val="18"/>
                <w:lang w:eastAsia="zh-CN"/>
              </w:rPr>
            </w:pPr>
            <w:r>
              <w:rPr>
                <w:rFonts w:hint="eastAsia" w:asciiTheme="minorEastAsia" w:hAnsiTheme="minorEastAsia" w:eastAsiaTheme="minorEastAsia" w:cstheme="minorEastAsia"/>
                <w:color w:val="000000"/>
                <w:sz w:val="18"/>
                <w:szCs w:val="18"/>
                <w:lang w:val="en-US" w:eastAsia="zh-CN"/>
              </w:rPr>
              <w:t>需求</w:t>
            </w:r>
            <w:r>
              <w:rPr>
                <w:rFonts w:hint="eastAsia" w:asciiTheme="minorEastAsia" w:hAnsiTheme="minorEastAsia" w:eastAsiaTheme="minorEastAsia" w:cstheme="minorEastAsia"/>
                <w:color w:val="000000"/>
                <w:sz w:val="18"/>
                <w:szCs w:val="18"/>
              </w:rPr>
              <w:t>内容：</w:t>
            </w:r>
            <w:r>
              <w:rPr>
                <w:rFonts w:hint="eastAsia" w:asciiTheme="minorEastAsia" w:hAnsiTheme="minorEastAsia" w:eastAsiaTheme="minorEastAsia" w:cstheme="minorEastAsia"/>
                <w:color w:val="000000"/>
                <w:sz w:val="18"/>
                <w:szCs w:val="18"/>
                <w:lang w:eastAsia="zh-CN"/>
              </w:rPr>
              <w:t>同银行的战略合作需求，通过银行授信开展平台资金结算</w:t>
            </w:r>
          </w:p>
          <w:p>
            <w:pPr>
              <w:keepNext w:val="0"/>
              <w:keepLines w:val="0"/>
              <w:pageBreakBefore w:val="0"/>
              <w:widowControl/>
              <w:kinsoku/>
              <w:wordWrap/>
              <w:overflowPunct/>
              <w:topLinePunct w:val="0"/>
              <w:autoSpaceDE/>
              <w:autoSpaceDN/>
              <w:bidi w:val="0"/>
              <w:adjustRightInd/>
              <w:snapToGrid/>
              <w:spacing w:line="220" w:lineRule="exact"/>
              <w:jc w:val="left"/>
              <w:textAlignment w:val="auto"/>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color w:val="000000"/>
                <w:sz w:val="18"/>
                <w:szCs w:val="18"/>
                <w:lang w:val="en-US" w:eastAsia="zh-CN"/>
              </w:rPr>
              <w:t>合作</w:t>
            </w:r>
            <w:r>
              <w:rPr>
                <w:rFonts w:hint="eastAsia" w:asciiTheme="minorEastAsia" w:hAnsiTheme="minorEastAsia" w:eastAsiaTheme="minorEastAsia" w:cstheme="minorEastAsia"/>
                <w:color w:val="000000"/>
                <w:sz w:val="18"/>
                <w:szCs w:val="18"/>
              </w:rPr>
              <w:t>对象：</w:t>
            </w:r>
            <w:r>
              <w:rPr>
                <w:rFonts w:hint="eastAsia" w:asciiTheme="minorEastAsia" w:hAnsiTheme="minorEastAsia" w:eastAsiaTheme="minorEastAsia" w:cstheme="minorEastAsia"/>
                <w:color w:val="000000"/>
                <w:sz w:val="18"/>
                <w:szCs w:val="18"/>
                <w:lang w:eastAsia="zh-CN"/>
              </w:rPr>
              <w:t>引入</w:t>
            </w:r>
            <w:r>
              <w:rPr>
                <w:rFonts w:hint="eastAsia" w:asciiTheme="minorEastAsia" w:hAnsiTheme="minorEastAsia" w:eastAsiaTheme="minorEastAsia" w:cstheme="minorEastAsia"/>
                <w:color w:val="000000"/>
                <w:sz w:val="18"/>
                <w:szCs w:val="18"/>
              </w:rPr>
              <w:t>银行</w:t>
            </w:r>
            <w:r>
              <w:rPr>
                <w:rFonts w:hint="eastAsia" w:asciiTheme="minorEastAsia" w:hAnsiTheme="minorEastAsia" w:eastAsiaTheme="minorEastAsia" w:cstheme="minorEastAsia"/>
                <w:color w:val="000000"/>
                <w:sz w:val="18"/>
                <w:szCs w:val="18"/>
                <w:lang w:eastAsia="zh-CN"/>
              </w:rPr>
              <w:t>机构</w:t>
            </w:r>
            <w:r>
              <w:rPr>
                <w:rFonts w:hint="eastAsia" w:asciiTheme="minorEastAsia" w:hAnsiTheme="minorEastAsia" w:eastAsiaTheme="minorEastAsia" w:cstheme="minorEastAsia"/>
                <w:color w:val="000000"/>
                <w:sz w:val="18"/>
                <w:szCs w:val="18"/>
              </w:rPr>
              <w:t>开展平台合作商资金结算相关业务</w:t>
            </w:r>
          </w:p>
        </w:tc>
        <w:tc>
          <w:tcPr>
            <w:tcW w:w="851" w:type="dxa"/>
            <w:vMerge w:val="continue"/>
            <w:shd w:val="clear" w:color="auto" w:fill="E2EFDA" w:themeFill="accent6" w:themeFillTint="32"/>
            <w:vAlign w:val="center"/>
          </w:tcPr>
          <w:p>
            <w:pPr>
              <w:spacing w:line="240" w:lineRule="exact"/>
              <w:jc w:val="center"/>
              <w:rPr>
                <w:rFonts w:hint="eastAsia" w:asciiTheme="minorEastAsia" w:hAnsiTheme="minorEastAsia" w:eastAsiaTheme="minorEastAsia" w:cstheme="minorEastAsia"/>
                <w:sz w:val="18"/>
                <w:szCs w:val="18"/>
              </w:rPr>
            </w:pPr>
          </w:p>
        </w:tc>
        <w:tc>
          <w:tcPr>
            <w:tcW w:w="796" w:type="dxa"/>
            <w:vMerge w:val="continue"/>
            <w:shd w:val="clear" w:color="auto" w:fill="E2EFDA" w:themeFill="accent6" w:themeFillTint="32"/>
            <w:vAlign w:val="center"/>
          </w:tcPr>
          <w:p>
            <w:pPr>
              <w:spacing w:line="240" w:lineRule="exact"/>
              <w:jc w:val="center"/>
              <w:rPr>
                <w:rFonts w:hint="eastAsia" w:asciiTheme="minorEastAsia" w:hAnsiTheme="minorEastAsia" w:eastAsiaTheme="minorEastAsia" w:cstheme="minorEastAsia"/>
                <w:sz w:val="18"/>
                <w:szCs w:val="18"/>
              </w:rPr>
            </w:pPr>
          </w:p>
        </w:tc>
        <w:tc>
          <w:tcPr>
            <w:tcW w:w="1262" w:type="dxa"/>
            <w:vMerge w:val="continue"/>
            <w:shd w:val="clear" w:color="auto" w:fill="E2EFDA" w:themeFill="accent6" w:themeFillTint="32"/>
            <w:vAlign w:val="center"/>
          </w:tcPr>
          <w:p>
            <w:pPr>
              <w:spacing w:line="240" w:lineRule="exact"/>
              <w:jc w:val="center"/>
              <w:rPr>
                <w:rFonts w:hint="eastAsia" w:asciiTheme="minorEastAsia" w:hAnsiTheme="minorEastAsia" w:eastAsiaTheme="minorEastAsia" w:cstheme="minorEastAsia"/>
                <w:sz w:val="18"/>
                <w:szCs w:val="18"/>
              </w:rPr>
            </w:pPr>
          </w:p>
        </w:tc>
        <w:tc>
          <w:tcPr>
            <w:tcW w:w="975" w:type="dxa"/>
            <w:vMerge w:val="continue"/>
            <w:shd w:val="clear" w:color="auto" w:fill="E2EFDA" w:themeFill="accent6" w:themeFillTint="32"/>
            <w:vAlign w:val="center"/>
          </w:tcPr>
          <w:p>
            <w:pPr>
              <w:spacing w:line="240" w:lineRule="exact"/>
              <w:jc w:val="center"/>
              <w:rPr>
                <w:rFonts w:hint="eastAsia" w:asciiTheme="minorEastAsia" w:hAnsiTheme="minorEastAsia" w:eastAsiaTheme="minorEastAsia" w:cstheme="minorEastAsia"/>
                <w:sz w:val="18"/>
                <w:szCs w:val="18"/>
              </w:rPr>
            </w:pPr>
          </w:p>
        </w:tc>
        <w:tc>
          <w:tcPr>
            <w:tcW w:w="779" w:type="dxa"/>
            <w:vMerge w:val="continue"/>
            <w:tcBorders>
              <w:right w:val="single" w:color="auto" w:sz="4" w:space="0"/>
            </w:tcBorders>
            <w:shd w:val="clear" w:color="auto" w:fill="E2EFDA" w:themeFill="accent6" w:themeFillTint="32"/>
            <w:vAlign w:val="center"/>
          </w:tcPr>
          <w:p>
            <w:pPr>
              <w:widowControl/>
              <w:spacing w:line="240" w:lineRule="exact"/>
              <w:jc w:val="center"/>
              <w:rPr>
                <w:rFonts w:hint="eastAsia" w:ascii="方正兰亭黑_GBK" w:hAnsi="方正兰亭黑_GBK" w:eastAsia="方正兰亭黑_GBK" w:cs="方正兰亭黑_GBK"/>
                <w:color w:val="00000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1377" w:hRule="atLeast"/>
        </w:trPr>
        <w:tc>
          <w:tcPr>
            <w:tcW w:w="1248" w:type="dxa"/>
            <w:vMerge w:val="restart"/>
            <w:tcBorders>
              <w:left w:val="single" w:color="auto" w:sz="4" w:space="0"/>
            </w:tcBorders>
            <w:shd w:val="clear" w:color="auto" w:fill="FFD965" w:themeFill="accent4" w:themeFillTint="99"/>
            <w:vAlign w:val="center"/>
          </w:tcPr>
          <w:p>
            <w:pPr>
              <w:spacing w:line="240" w:lineRule="exact"/>
              <w:jc w:val="center"/>
              <w:rPr>
                <w:rFonts w:hint="eastAsia" w:ascii="方正兰亭黑_GBK" w:hAnsi="方正兰亭黑_GBK" w:eastAsia="方正兰亭黑_GBK" w:cs="方正兰亭黑_GBK"/>
                <w:b w:val="0"/>
                <w:bCs w:val="0"/>
                <w:color w:val="000000"/>
                <w:sz w:val="18"/>
                <w:szCs w:val="18"/>
                <w:lang w:eastAsia="zh-CN"/>
              </w:rPr>
            </w:pPr>
            <w:r>
              <w:rPr>
                <w:rFonts w:hint="eastAsia" w:ascii="方正兰亭黑_GBK" w:hAnsi="方正兰亭黑_GBK" w:eastAsia="方正兰亭黑_GBK" w:cs="方正兰亭黑_GBK"/>
                <w:b w:val="0"/>
                <w:bCs w:val="0"/>
                <w:color w:val="000000"/>
                <w:sz w:val="18"/>
                <w:szCs w:val="18"/>
                <w:lang w:eastAsia="zh-CN"/>
              </w:rPr>
              <w:t>成都国际</w:t>
            </w:r>
          </w:p>
          <w:p>
            <w:pPr>
              <w:spacing w:line="240" w:lineRule="exact"/>
              <w:jc w:val="center"/>
              <w:rPr>
                <w:rFonts w:hint="eastAsia" w:ascii="方正兰亭黑_GBK" w:hAnsi="方正兰亭黑_GBK" w:eastAsia="方正兰亭黑_GBK" w:cs="方正兰亭黑_GBK"/>
                <w:b w:val="0"/>
                <w:bCs w:val="0"/>
                <w:color w:val="000000"/>
                <w:sz w:val="18"/>
                <w:szCs w:val="18"/>
                <w:lang w:eastAsia="zh-CN"/>
              </w:rPr>
            </w:pPr>
            <w:r>
              <w:rPr>
                <w:rFonts w:hint="eastAsia" w:ascii="方正兰亭黑_GBK" w:hAnsi="方正兰亭黑_GBK" w:eastAsia="方正兰亭黑_GBK" w:cs="方正兰亭黑_GBK"/>
                <w:b w:val="0"/>
                <w:bCs w:val="0"/>
                <w:color w:val="000000"/>
                <w:sz w:val="18"/>
                <w:szCs w:val="18"/>
                <w:lang w:eastAsia="zh-CN"/>
              </w:rPr>
              <w:t>商贸城</w:t>
            </w:r>
          </w:p>
          <w:p>
            <w:pPr>
              <w:spacing w:line="240" w:lineRule="exact"/>
              <w:jc w:val="center"/>
              <w:rPr>
                <w:rFonts w:hint="eastAsia" w:ascii="方正兰亭黑_GBK" w:hAnsi="方正兰亭黑_GBK" w:eastAsia="方正兰亭黑_GBK" w:cs="方正兰亭黑_GBK"/>
                <w:color w:val="000000" w:themeColor="text1"/>
                <w:sz w:val="16"/>
                <w:szCs w:val="16"/>
                <w14:textFill>
                  <w14:solidFill>
                    <w14:schemeClr w14:val="tx1"/>
                  </w14:solidFill>
                </w14:textFill>
              </w:rPr>
            </w:pPr>
            <w:r>
              <w:rPr>
                <w:rFonts w:hint="eastAsia" w:ascii="方正兰亭黑_GBK" w:hAnsi="方正兰亭黑_GBK" w:eastAsia="方正兰亭黑_GBK" w:cs="方正兰亭黑_GBK"/>
                <w:color w:val="000000" w:themeColor="text1"/>
                <w:sz w:val="16"/>
                <w:szCs w:val="16"/>
                <w:lang w:eastAsia="zh-CN"/>
                <w14:textFill>
                  <w14:solidFill>
                    <w14:schemeClr w14:val="tx1"/>
                  </w14:solidFill>
                </w14:textFill>
              </w:rPr>
              <w:t>（成都金牛）</w:t>
            </w:r>
          </w:p>
          <w:p>
            <w:pPr>
              <w:spacing w:line="240" w:lineRule="exact"/>
              <w:rPr>
                <w:rFonts w:ascii="方正兰亭黑_GBK" w:hAnsi="方正兰亭黑_GBK" w:eastAsia="方正兰亭黑_GBK" w:cs="方正兰亭黑_GBK"/>
                <w:color w:val="000000"/>
                <w:sz w:val="18"/>
                <w:szCs w:val="18"/>
              </w:rPr>
            </w:pPr>
          </w:p>
        </w:tc>
        <w:tc>
          <w:tcPr>
            <w:tcW w:w="2178" w:type="dxa"/>
            <w:vMerge w:val="restart"/>
            <w:shd w:val="clear" w:color="auto" w:fill="FFE599" w:themeFill="accent4" w:themeFillTint="66"/>
            <w:vAlign w:val="center"/>
          </w:tcPr>
          <w:p>
            <w:pPr>
              <w:spacing w:line="240" w:lineRule="exact"/>
              <w:jc w:val="both"/>
              <w:rPr>
                <w:rFonts w:asciiTheme="minorEastAsia" w:hAnsiTheme="minorEastAsia" w:eastAsiaTheme="minorEastAsia" w:cstheme="minorEastAsia"/>
                <w:sz w:val="18"/>
                <w:szCs w:val="18"/>
              </w:rPr>
            </w:pPr>
            <w:r>
              <w:rPr>
                <w:rFonts w:hint="eastAsia" w:asciiTheme="minorEastAsia" w:hAnsiTheme="minorEastAsia" w:eastAsiaTheme="minorEastAsia" w:cstheme="minorEastAsia"/>
                <w:color w:val="auto"/>
                <w:sz w:val="18"/>
                <w:szCs w:val="18"/>
              </w:rPr>
              <w:t>商贸城是集产品设计研发、展示、洽谈、电子商务、国际国内贸易和供应链管理为一体的中西部最大的现代商贸商务服务平台</w:t>
            </w:r>
            <w:r>
              <w:rPr>
                <w:rFonts w:hint="eastAsia" w:asciiTheme="minorEastAsia" w:hAnsiTheme="minorEastAsia" w:eastAsiaTheme="minorEastAsia" w:cstheme="minorEastAsia"/>
                <w:color w:val="auto"/>
                <w:sz w:val="18"/>
                <w:szCs w:val="18"/>
                <w:lang w:eastAsia="zh-CN"/>
              </w:rPr>
              <w:t>，也是</w:t>
            </w:r>
            <w:r>
              <w:rPr>
                <w:rFonts w:hint="eastAsia" w:asciiTheme="minorEastAsia" w:hAnsiTheme="minorEastAsia" w:eastAsiaTheme="minorEastAsia" w:cstheme="minorEastAsia"/>
                <w:color w:val="auto"/>
                <w:sz w:val="18"/>
                <w:szCs w:val="18"/>
              </w:rPr>
              <w:t>国家市场采购贸易方式试点市场</w:t>
            </w:r>
            <w:r>
              <w:rPr>
                <w:rFonts w:hint="eastAsia" w:asciiTheme="minorEastAsia" w:hAnsiTheme="minorEastAsia" w:eastAsiaTheme="minorEastAsia" w:cstheme="minorEastAsia"/>
                <w:color w:val="auto"/>
                <w:sz w:val="18"/>
                <w:szCs w:val="18"/>
                <w:lang w:eastAsia="zh-CN"/>
              </w:rPr>
              <w:t>，</w:t>
            </w:r>
            <w:r>
              <w:rPr>
                <w:rFonts w:hint="eastAsia" w:asciiTheme="minorEastAsia" w:hAnsiTheme="minorEastAsia" w:eastAsiaTheme="minorEastAsia" w:cstheme="minorEastAsia"/>
                <w:color w:val="auto"/>
                <w:sz w:val="18"/>
                <w:szCs w:val="18"/>
              </w:rPr>
              <w:t>已形成服装服饰、皮具箱包、日用消费品、家具建材、五金机电、电子电器、农产品、中药材等专业市场</w:t>
            </w:r>
            <w:r>
              <w:rPr>
                <w:rFonts w:hint="eastAsia" w:asciiTheme="minorEastAsia" w:hAnsiTheme="minorEastAsia" w:eastAsiaTheme="minorEastAsia" w:cstheme="minorEastAsia"/>
                <w:color w:val="auto"/>
                <w:sz w:val="18"/>
                <w:szCs w:val="18"/>
                <w:lang w:eastAsia="zh-CN"/>
              </w:rPr>
              <w:t>，</w:t>
            </w:r>
            <w:r>
              <w:rPr>
                <w:rFonts w:hint="eastAsia" w:asciiTheme="minorEastAsia" w:hAnsiTheme="minorEastAsia" w:eastAsiaTheme="minorEastAsia" w:cstheme="minorEastAsia"/>
                <w:color w:val="auto"/>
                <w:sz w:val="18"/>
                <w:szCs w:val="18"/>
                <w:lang w:val="en-US" w:eastAsia="zh-CN"/>
              </w:rPr>
              <w:t>通过引入信息化服务商、开展人工智能技术联合攻关、举办特色专题活动等，打造</w:t>
            </w:r>
            <w:r>
              <w:rPr>
                <w:rFonts w:hint="eastAsia" w:asciiTheme="minorEastAsia" w:hAnsiTheme="minorEastAsia" w:eastAsiaTheme="minorEastAsia" w:cstheme="minorEastAsia"/>
                <w:color w:val="auto"/>
                <w:sz w:val="18"/>
                <w:szCs w:val="18"/>
              </w:rPr>
              <w:t>新零售、新消费场景</w:t>
            </w:r>
          </w:p>
        </w:tc>
        <w:tc>
          <w:tcPr>
            <w:tcW w:w="645" w:type="dxa"/>
            <w:shd w:val="clear" w:color="auto" w:fill="FEF2CC" w:themeFill="accent4" w:themeFillTint="32"/>
            <w:vAlign w:val="center"/>
          </w:tcPr>
          <w:p>
            <w:pPr>
              <w:spacing w:line="240" w:lineRule="exact"/>
              <w:jc w:val="center"/>
              <w:rPr>
                <w:rFonts w:hint="eastAsia" w:eastAsia="方正黑体_GBK"/>
                <w:color w:val="000000"/>
                <w:sz w:val="18"/>
                <w:szCs w:val="18"/>
              </w:rPr>
            </w:pPr>
            <w:r>
              <w:rPr>
                <w:rFonts w:hint="eastAsia" w:eastAsia="方正黑体_GBK"/>
                <w:color w:val="000000"/>
                <w:sz w:val="18"/>
                <w:szCs w:val="18"/>
              </w:rPr>
              <w:t>企业</w:t>
            </w:r>
          </w:p>
          <w:p>
            <w:pPr>
              <w:spacing w:line="240" w:lineRule="exact"/>
              <w:jc w:val="center"/>
              <w:rPr>
                <w:rFonts w:ascii="方正兰亭黑_GBK" w:hAnsi="方正兰亭黑_GBK" w:eastAsia="方正兰亭黑_GBK" w:cs="方正兰亭黑_GBK"/>
                <w:color w:val="000000"/>
                <w:sz w:val="18"/>
                <w:szCs w:val="18"/>
              </w:rPr>
            </w:pPr>
            <w:r>
              <w:rPr>
                <w:rFonts w:hint="eastAsia" w:eastAsia="方正黑体_GBK"/>
                <w:color w:val="000000"/>
                <w:sz w:val="18"/>
                <w:szCs w:val="18"/>
              </w:rPr>
              <w:t>协作</w:t>
            </w:r>
          </w:p>
        </w:tc>
        <w:tc>
          <w:tcPr>
            <w:tcW w:w="990" w:type="dxa"/>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项目合作</w:t>
            </w:r>
          </w:p>
        </w:tc>
        <w:tc>
          <w:tcPr>
            <w:tcW w:w="4578" w:type="dxa"/>
            <w:shd w:val="clear" w:color="auto" w:fill="FEF2CC" w:themeFill="accent4" w:themeFillTint="32"/>
            <w:vAlign w:val="center"/>
          </w:tcPr>
          <w:p>
            <w:pPr>
              <w:spacing w:line="240" w:lineRule="exact"/>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val="en-US" w:eastAsia="zh-CN"/>
              </w:rPr>
              <w:t>需求</w:t>
            </w:r>
            <w:r>
              <w:rPr>
                <w:rFonts w:hint="eastAsia" w:asciiTheme="minorEastAsia" w:hAnsiTheme="minorEastAsia" w:eastAsiaTheme="minorEastAsia" w:cstheme="minorEastAsia"/>
                <w:color w:val="000000"/>
                <w:sz w:val="18"/>
                <w:szCs w:val="18"/>
              </w:rPr>
              <w:t>内容：产业学院、新媒体运营、智慧商城、信息化与电商服务</w:t>
            </w:r>
          </w:p>
          <w:p>
            <w:pPr>
              <w:spacing w:line="240" w:lineRule="exact"/>
              <w:jc w:val="left"/>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color w:val="000000"/>
                <w:sz w:val="18"/>
                <w:szCs w:val="18"/>
                <w:lang w:val="en-US" w:eastAsia="zh-CN"/>
              </w:rPr>
              <w:t>合作</w:t>
            </w:r>
            <w:r>
              <w:rPr>
                <w:rFonts w:hint="eastAsia" w:asciiTheme="minorEastAsia" w:hAnsiTheme="minorEastAsia" w:eastAsiaTheme="minorEastAsia" w:cstheme="minorEastAsia"/>
                <w:color w:val="000000"/>
                <w:sz w:val="18"/>
                <w:szCs w:val="18"/>
              </w:rPr>
              <w:t>对象：高校、新媒体机构、互联网IT企业、第三方服务机构</w:t>
            </w:r>
          </w:p>
        </w:tc>
        <w:tc>
          <w:tcPr>
            <w:tcW w:w="851" w:type="dxa"/>
            <w:vMerge w:val="restart"/>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伊厦</w:t>
            </w:r>
          </w:p>
          <w:p>
            <w:pPr>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成都</w:t>
            </w:r>
          </w:p>
          <w:p>
            <w:pPr>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国际</w:t>
            </w:r>
          </w:p>
          <w:p>
            <w:pPr>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商贸城股份</w:t>
            </w:r>
          </w:p>
          <w:p>
            <w:pPr>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有限</w:t>
            </w:r>
          </w:p>
          <w:p>
            <w:pPr>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rPr>
              <w:t>公司</w:t>
            </w:r>
          </w:p>
        </w:tc>
        <w:tc>
          <w:tcPr>
            <w:tcW w:w="796" w:type="dxa"/>
            <w:vMerge w:val="restart"/>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rPr>
              <w:t>赵丽华</w:t>
            </w:r>
          </w:p>
        </w:tc>
        <w:tc>
          <w:tcPr>
            <w:tcW w:w="1262" w:type="dxa"/>
            <w:vMerge w:val="restart"/>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rPr>
              <w:t>13666291600</w:t>
            </w:r>
          </w:p>
        </w:tc>
        <w:tc>
          <w:tcPr>
            <w:tcW w:w="975" w:type="dxa"/>
            <w:vMerge w:val="restart"/>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lang w:val="en-US" w:eastAsia="zh-CN"/>
              </w:rPr>
              <w:t>2019.9-</w:t>
            </w:r>
          </w:p>
          <w:p>
            <w:pPr>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rPr>
              <w:t>2020.10</w:t>
            </w:r>
          </w:p>
        </w:tc>
        <w:tc>
          <w:tcPr>
            <w:tcW w:w="779" w:type="dxa"/>
            <w:vMerge w:val="restart"/>
            <w:tcBorders>
              <w:right w:val="single" w:color="auto" w:sz="4" w:space="0"/>
            </w:tcBorders>
            <w:shd w:val="clear" w:color="auto" w:fill="FEF2CC" w:themeFill="accent4" w:themeFillTint="32"/>
            <w:vAlign w:val="center"/>
          </w:tcPr>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天府</w:t>
            </w:r>
          </w:p>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国际</w:t>
            </w:r>
          </w:p>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商贸</w:t>
            </w:r>
          </w:p>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商务</w:t>
            </w:r>
          </w:p>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功能区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687" w:hRule="atLeast"/>
        </w:trPr>
        <w:tc>
          <w:tcPr>
            <w:tcW w:w="1248" w:type="dxa"/>
            <w:vMerge w:val="continue"/>
            <w:tcBorders>
              <w:left w:val="single" w:color="auto" w:sz="4" w:space="0"/>
            </w:tcBorders>
            <w:shd w:val="clear" w:color="auto" w:fill="FFD965" w:themeFill="accent4" w:themeFillTint="99"/>
            <w:vAlign w:val="center"/>
          </w:tcPr>
          <w:p>
            <w:pPr>
              <w:spacing w:line="240" w:lineRule="exact"/>
              <w:jc w:val="center"/>
              <w:rPr>
                <w:rFonts w:ascii="方正兰亭黑_GBK" w:hAnsi="方正兰亭黑_GBK" w:eastAsia="方正兰亭黑_GBK" w:cs="方正兰亭黑_GBK"/>
                <w:color w:val="000000"/>
                <w:sz w:val="18"/>
                <w:szCs w:val="18"/>
              </w:rPr>
            </w:pPr>
          </w:p>
        </w:tc>
        <w:tc>
          <w:tcPr>
            <w:tcW w:w="2178" w:type="dxa"/>
            <w:vMerge w:val="continue"/>
            <w:shd w:val="clear" w:color="auto" w:fill="FFE599" w:themeFill="accent4" w:themeFillTint="66"/>
            <w:vAlign w:val="center"/>
          </w:tcPr>
          <w:p>
            <w:pPr>
              <w:spacing w:line="240" w:lineRule="exact"/>
              <w:jc w:val="center"/>
              <w:rPr>
                <w:rFonts w:asciiTheme="minorEastAsia" w:hAnsiTheme="minorEastAsia" w:eastAsiaTheme="minorEastAsia" w:cstheme="minorEastAsia"/>
                <w:sz w:val="18"/>
                <w:szCs w:val="18"/>
              </w:rPr>
            </w:pPr>
          </w:p>
        </w:tc>
        <w:tc>
          <w:tcPr>
            <w:tcW w:w="645" w:type="dxa"/>
            <w:shd w:val="clear" w:color="auto" w:fill="FEF2CC" w:themeFill="accent4" w:themeFillTint="32"/>
            <w:vAlign w:val="center"/>
          </w:tcPr>
          <w:p>
            <w:pPr>
              <w:spacing w:line="240" w:lineRule="exact"/>
              <w:jc w:val="center"/>
              <w:rPr>
                <w:rFonts w:hint="eastAsia" w:ascii="方正黑体_GBK" w:hAnsi="宋体" w:eastAsia="方正黑体_GBK" w:cs="宋体"/>
                <w:color w:val="000000"/>
                <w:sz w:val="18"/>
                <w:szCs w:val="18"/>
              </w:rPr>
            </w:pPr>
            <w:r>
              <w:rPr>
                <w:rFonts w:hint="eastAsia" w:ascii="方正黑体_GBK" w:hAnsi="宋体" w:eastAsia="方正黑体_GBK" w:cs="宋体"/>
                <w:color w:val="000000"/>
                <w:sz w:val="18"/>
                <w:szCs w:val="18"/>
              </w:rPr>
              <w:t>技术</w:t>
            </w:r>
          </w:p>
          <w:p>
            <w:pPr>
              <w:spacing w:line="240" w:lineRule="exact"/>
              <w:jc w:val="center"/>
              <w:rPr>
                <w:rFonts w:ascii="方正兰亭黑_GBK" w:hAnsi="方正兰亭黑_GBK" w:eastAsia="方正兰亭黑_GBK" w:cs="方正兰亭黑_GBK"/>
                <w:color w:val="000000"/>
                <w:sz w:val="18"/>
                <w:szCs w:val="18"/>
              </w:rPr>
            </w:pPr>
            <w:r>
              <w:rPr>
                <w:rFonts w:hint="eastAsia" w:ascii="方正黑体_GBK" w:hAnsi="宋体" w:eastAsia="方正黑体_GBK" w:cs="宋体"/>
                <w:color w:val="000000"/>
                <w:sz w:val="18"/>
                <w:szCs w:val="18"/>
                <w:lang w:eastAsia="zh-CN"/>
              </w:rPr>
              <w:t>需求</w:t>
            </w:r>
          </w:p>
        </w:tc>
        <w:tc>
          <w:tcPr>
            <w:tcW w:w="990" w:type="dxa"/>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技术项目合作</w:t>
            </w:r>
          </w:p>
        </w:tc>
        <w:tc>
          <w:tcPr>
            <w:tcW w:w="4578" w:type="dxa"/>
            <w:shd w:val="clear" w:color="auto" w:fill="FEF2CC" w:themeFill="accent4" w:themeFillTint="32"/>
            <w:vAlign w:val="center"/>
          </w:tcPr>
          <w:p>
            <w:pPr>
              <w:spacing w:line="240" w:lineRule="exact"/>
              <w:jc w:val="left"/>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lang w:val="en-US" w:eastAsia="zh-CN"/>
              </w:rPr>
              <w:t>需求</w:t>
            </w:r>
            <w:r>
              <w:rPr>
                <w:rFonts w:hint="eastAsia" w:asciiTheme="minorEastAsia" w:hAnsiTheme="minorEastAsia" w:eastAsiaTheme="minorEastAsia" w:cstheme="minorEastAsia"/>
                <w:color w:val="000000"/>
                <w:sz w:val="18"/>
                <w:szCs w:val="18"/>
              </w:rPr>
              <w:t>内容：1.室内导航，通过WIFI热点定位，让置身于市场里的消费者</w:t>
            </w:r>
            <w:r>
              <w:rPr>
                <w:rFonts w:hint="eastAsia" w:asciiTheme="minorEastAsia" w:hAnsiTheme="minorEastAsia" w:eastAsiaTheme="minorEastAsia" w:cstheme="minorEastAsia"/>
                <w:color w:val="000000"/>
                <w:sz w:val="18"/>
                <w:szCs w:val="18"/>
                <w:lang w:val="en-US" w:eastAsia="zh-CN"/>
              </w:rPr>
              <w:t>与</w:t>
            </w:r>
            <w:r>
              <w:rPr>
                <w:rFonts w:hint="eastAsia" w:asciiTheme="minorEastAsia" w:hAnsiTheme="minorEastAsia" w:eastAsiaTheme="minorEastAsia" w:cstheme="minorEastAsia"/>
                <w:color w:val="000000"/>
                <w:sz w:val="18"/>
                <w:szCs w:val="18"/>
              </w:rPr>
              <w:t>采购商，能利用此导航精确的定位功能确定自己的位置并找到想去的商位；2.人工智能，通过人工智能监控手段，包含智能摄像头、人工智能软件，精确计算出市场人流量、交易量等大数据</w:t>
            </w:r>
          </w:p>
          <w:p>
            <w:pPr>
              <w:spacing w:line="240" w:lineRule="exact"/>
              <w:jc w:val="left"/>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color w:val="000000"/>
                <w:sz w:val="18"/>
                <w:szCs w:val="18"/>
                <w:lang w:val="en-US" w:eastAsia="zh-CN"/>
              </w:rPr>
              <w:t>合作</w:t>
            </w:r>
            <w:r>
              <w:rPr>
                <w:rFonts w:hint="eastAsia" w:asciiTheme="minorEastAsia" w:hAnsiTheme="minorEastAsia" w:eastAsiaTheme="minorEastAsia" w:cstheme="minorEastAsia"/>
                <w:color w:val="000000"/>
                <w:sz w:val="18"/>
                <w:szCs w:val="18"/>
              </w:rPr>
              <w:t>对象：</w:t>
            </w:r>
            <w:r>
              <w:rPr>
                <w:rFonts w:hint="eastAsia" w:asciiTheme="minorEastAsia" w:hAnsiTheme="minorEastAsia" w:eastAsiaTheme="minorEastAsia" w:cstheme="minorEastAsia"/>
                <w:color w:val="000000"/>
                <w:spacing w:val="-6"/>
                <w:sz w:val="18"/>
                <w:szCs w:val="18"/>
              </w:rPr>
              <w:t>室内导航、社区电商、人工智能等企业或机构</w:t>
            </w:r>
          </w:p>
        </w:tc>
        <w:tc>
          <w:tcPr>
            <w:tcW w:w="851" w:type="dxa"/>
            <w:vMerge w:val="continue"/>
            <w:shd w:val="clear" w:color="auto" w:fill="FEF2CC" w:themeFill="accent4" w:themeFillTint="32"/>
            <w:vAlign w:val="center"/>
          </w:tcPr>
          <w:p>
            <w:pPr>
              <w:spacing w:line="240" w:lineRule="exact"/>
              <w:rPr>
                <w:rFonts w:hint="eastAsia" w:asciiTheme="minorEastAsia" w:hAnsiTheme="minorEastAsia" w:eastAsiaTheme="minorEastAsia" w:cstheme="minorEastAsia"/>
                <w:sz w:val="18"/>
                <w:szCs w:val="18"/>
              </w:rPr>
            </w:pPr>
          </w:p>
        </w:tc>
        <w:tc>
          <w:tcPr>
            <w:tcW w:w="796" w:type="dxa"/>
            <w:vMerge w:val="continue"/>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sz w:val="18"/>
                <w:szCs w:val="18"/>
              </w:rPr>
            </w:pPr>
          </w:p>
        </w:tc>
        <w:tc>
          <w:tcPr>
            <w:tcW w:w="1262" w:type="dxa"/>
            <w:vMerge w:val="continue"/>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sz w:val="18"/>
                <w:szCs w:val="18"/>
              </w:rPr>
            </w:pPr>
          </w:p>
        </w:tc>
        <w:tc>
          <w:tcPr>
            <w:tcW w:w="975" w:type="dxa"/>
            <w:vMerge w:val="continue"/>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sz w:val="18"/>
                <w:szCs w:val="18"/>
              </w:rPr>
            </w:pPr>
          </w:p>
        </w:tc>
        <w:tc>
          <w:tcPr>
            <w:tcW w:w="779" w:type="dxa"/>
            <w:vMerge w:val="continue"/>
            <w:tcBorders>
              <w:right w:val="single" w:color="auto" w:sz="4" w:space="0"/>
            </w:tcBorders>
            <w:shd w:val="clear" w:color="auto" w:fill="FEF2CC" w:themeFill="accent4" w:themeFillTint="32"/>
            <w:vAlign w:val="center"/>
          </w:tcPr>
          <w:p>
            <w:pPr>
              <w:spacing w:line="240" w:lineRule="exact"/>
              <w:jc w:val="center"/>
              <w:rPr>
                <w:rFonts w:hint="eastAsia" w:ascii="方正兰亭黑_GBK" w:hAnsi="方正兰亭黑_GBK" w:eastAsia="方正兰亭黑_GBK" w:cs="方正兰亭黑_GBK"/>
                <w:color w:val="00000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567" w:hRule="atLeast"/>
        </w:trPr>
        <w:tc>
          <w:tcPr>
            <w:tcW w:w="1248" w:type="dxa"/>
            <w:vMerge w:val="restart"/>
            <w:tcBorders>
              <w:left w:val="single" w:color="auto" w:sz="4" w:space="0"/>
            </w:tcBorders>
            <w:shd w:val="clear" w:color="auto" w:fill="FFD965" w:themeFill="accent4" w:themeFillTint="99"/>
            <w:vAlign w:val="center"/>
          </w:tcPr>
          <w:p>
            <w:pPr>
              <w:spacing w:line="240" w:lineRule="exact"/>
              <w:jc w:val="center"/>
              <w:rPr>
                <w:rFonts w:hint="eastAsia" w:ascii="方正兰亭黑_GBK" w:hAnsi="方正兰亭黑_GBK" w:eastAsia="方正兰亭黑_GBK" w:cs="方正兰亭黑_GBK"/>
                <w:b w:val="0"/>
                <w:bCs w:val="0"/>
                <w:color w:val="000000"/>
                <w:sz w:val="18"/>
                <w:szCs w:val="18"/>
                <w:lang w:eastAsia="zh-CN"/>
              </w:rPr>
            </w:pPr>
            <w:r>
              <w:rPr>
                <w:rFonts w:hint="eastAsia" w:ascii="方正兰亭黑_GBK" w:hAnsi="方正兰亭黑_GBK" w:eastAsia="方正兰亭黑_GBK" w:cs="方正兰亭黑_GBK"/>
                <w:b w:val="0"/>
                <w:bCs w:val="0"/>
                <w:color w:val="000000"/>
                <w:sz w:val="18"/>
                <w:szCs w:val="18"/>
                <w:lang w:eastAsia="zh-CN"/>
              </w:rPr>
              <w:t>成都国际</w:t>
            </w:r>
          </w:p>
          <w:p>
            <w:pPr>
              <w:spacing w:line="240" w:lineRule="exact"/>
              <w:jc w:val="center"/>
              <w:rPr>
                <w:rFonts w:hint="eastAsia" w:ascii="方正兰亭黑_GBK" w:hAnsi="方正兰亭黑_GBK" w:eastAsia="方正兰亭黑_GBK" w:cs="方正兰亭黑_GBK"/>
                <w:b w:val="0"/>
                <w:bCs w:val="0"/>
                <w:color w:val="000000"/>
                <w:sz w:val="18"/>
                <w:szCs w:val="18"/>
                <w:lang w:eastAsia="zh-CN"/>
              </w:rPr>
            </w:pPr>
            <w:r>
              <w:rPr>
                <w:rFonts w:hint="eastAsia" w:ascii="方正兰亭黑_GBK" w:hAnsi="方正兰亭黑_GBK" w:eastAsia="方正兰亭黑_GBK" w:cs="方正兰亭黑_GBK"/>
                <w:b w:val="0"/>
                <w:bCs w:val="0"/>
                <w:color w:val="000000"/>
                <w:sz w:val="18"/>
                <w:szCs w:val="18"/>
                <w:lang w:eastAsia="zh-CN"/>
              </w:rPr>
              <w:t>商贸城</w:t>
            </w:r>
          </w:p>
          <w:p>
            <w:pPr>
              <w:spacing w:line="240" w:lineRule="exact"/>
              <w:jc w:val="center"/>
              <w:rPr>
                <w:rFonts w:hint="eastAsia" w:ascii="方正兰亭黑_GBK" w:hAnsi="方正兰亭黑_GBK" w:eastAsia="方正兰亭黑_GBK" w:cs="方正兰亭黑_GBK"/>
                <w:color w:val="000000" w:themeColor="text1"/>
                <w:sz w:val="16"/>
                <w:szCs w:val="16"/>
                <w14:textFill>
                  <w14:solidFill>
                    <w14:schemeClr w14:val="tx1"/>
                  </w14:solidFill>
                </w14:textFill>
              </w:rPr>
            </w:pPr>
            <w:r>
              <w:rPr>
                <w:rFonts w:hint="eastAsia" w:ascii="方正兰亭黑_GBK" w:hAnsi="方正兰亭黑_GBK" w:eastAsia="方正兰亭黑_GBK" w:cs="方正兰亭黑_GBK"/>
                <w:color w:val="000000" w:themeColor="text1"/>
                <w:sz w:val="16"/>
                <w:szCs w:val="16"/>
                <w:lang w:eastAsia="zh-CN"/>
                <w14:textFill>
                  <w14:solidFill>
                    <w14:schemeClr w14:val="tx1"/>
                  </w14:solidFill>
                </w14:textFill>
              </w:rPr>
              <w:t>（成都金牛）</w:t>
            </w:r>
          </w:p>
          <w:p>
            <w:pPr>
              <w:spacing w:line="240" w:lineRule="exact"/>
              <w:jc w:val="center"/>
              <w:rPr>
                <w:rFonts w:ascii="方正兰亭黑_GBK" w:hAnsi="方正兰亭黑_GBK" w:eastAsia="方正兰亭黑_GBK" w:cs="方正兰亭黑_GBK"/>
                <w:color w:val="000000"/>
                <w:sz w:val="18"/>
                <w:szCs w:val="18"/>
              </w:rPr>
            </w:pPr>
          </w:p>
        </w:tc>
        <w:tc>
          <w:tcPr>
            <w:tcW w:w="2178" w:type="dxa"/>
            <w:vMerge w:val="restart"/>
            <w:shd w:val="clear" w:color="auto" w:fill="FFE599" w:themeFill="accent4" w:themeFillTint="66"/>
            <w:vAlign w:val="center"/>
          </w:tcPr>
          <w:p>
            <w:pPr>
              <w:spacing w:line="240" w:lineRule="exact"/>
              <w:jc w:val="both"/>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color w:val="auto"/>
                <w:sz w:val="18"/>
                <w:szCs w:val="18"/>
              </w:rPr>
              <w:t>商贸城是集产品设计研发、展示、洽谈、电子商务、国际国内贸易和供应链管理为一体的中西部最大的现代商贸商务服务平台</w:t>
            </w:r>
            <w:r>
              <w:rPr>
                <w:rFonts w:hint="eastAsia" w:asciiTheme="minorEastAsia" w:hAnsiTheme="minorEastAsia" w:eastAsiaTheme="minorEastAsia" w:cstheme="minorEastAsia"/>
                <w:color w:val="auto"/>
                <w:sz w:val="18"/>
                <w:szCs w:val="18"/>
                <w:lang w:eastAsia="zh-CN"/>
              </w:rPr>
              <w:t>，也是</w:t>
            </w:r>
            <w:r>
              <w:rPr>
                <w:rFonts w:hint="eastAsia" w:asciiTheme="minorEastAsia" w:hAnsiTheme="minorEastAsia" w:eastAsiaTheme="minorEastAsia" w:cstheme="minorEastAsia"/>
                <w:color w:val="auto"/>
                <w:sz w:val="18"/>
                <w:szCs w:val="18"/>
              </w:rPr>
              <w:t>国家市场采购贸易方式试点市场</w:t>
            </w:r>
            <w:r>
              <w:rPr>
                <w:rFonts w:hint="eastAsia" w:asciiTheme="minorEastAsia" w:hAnsiTheme="minorEastAsia" w:eastAsiaTheme="minorEastAsia" w:cstheme="minorEastAsia"/>
                <w:color w:val="auto"/>
                <w:sz w:val="18"/>
                <w:szCs w:val="18"/>
                <w:lang w:eastAsia="zh-CN"/>
              </w:rPr>
              <w:t>，</w:t>
            </w:r>
            <w:r>
              <w:rPr>
                <w:rFonts w:hint="eastAsia" w:asciiTheme="minorEastAsia" w:hAnsiTheme="minorEastAsia" w:eastAsiaTheme="minorEastAsia" w:cstheme="minorEastAsia"/>
                <w:color w:val="auto"/>
                <w:sz w:val="18"/>
                <w:szCs w:val="18"/>
              </w:rPr>
              <w:t>已形成服装服饰、皮具箱包、日用消费品、家具建材、五金机电、电子电器、农产品、中药材等专业市场</w:t>
            </w:r>
            <w:r>
              <w:rPr>
                <w:rFonts w:hint="eastAsia" w:asciiTheme="minorEastAsia" w:hAnsiTheme="minorEastAsia" w:eastAsiaTheme="minorEastAsia" w:cstheme="minorEastAsia"/>
                <w:color w:val="auto"/>
                <w:sz w:val="18"/>
                <w:szCs w:val="18"/>
                <w:lang w:eastAsia="zh-CN"/>
              </w:rPr>
              <w:t>，</w:t>
            </w:r>
            <w:r>
              <w:rPr>
                <w:rFonts w:hint="eastAsia" w:asciiTheme="minorEastAsia" w:hAnsiTheme="minorEastAsia" w:eastAsiaTheme="minorEastAsia" w:cstheme="minorEastAsia"/>
                <w:color w:val="auto"/>
                <w:sz w:val="18"/>
                <w:szCs w:val="18"/>
                <w:lang w:val="en-US" w:eastAsia="zh-CN"/>
              </w:rPr>
              <w:t>通过引入信息化服务商、开展人工智能技术联合攻关、举办特色专题活动等，打造</w:t>
            </w:r>
            <w:r>
              <w:rPr>
                <w:rFonts w:hint="eastAsia" w:asciiTheme="minorEastAsia" w:hAnsiTheme="minorEastAsia" w:eastAsiaTheme="minorEastAsia" w:cstheme="minorEastAsia"/>
                <w:color w:val="auto"/>
                <w:sz w:val="18"/>
                <w:szCs w:val="18"/>
              </w:rPr>
              <w:t>新零售、新消费场景</w:t>
            </w:r>
          </w:p>
        </w:tc>
        <w:tc>
          <w:tcPr>
            <w:tcW w:w="645" w:type="dxa"/>
            <w:vMerge w:val="restart"/>
            <w:shd w:val="clear" w:color="auto" w:fill="FEF2CC" w:themeFill="accent4" w:themeFillTint="32"/>
            <w:vAlign w:val="center"/>
          </w:tcPr>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活动</w:t>
            </w:r>
          </w:p>
        </w:tc>
        <w:tc>
          <w:tcPr>
            <w:tcW w:w="990" w:type="dxa"/>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民间艺术文化节</w:t>
            </w:r>
          </w:p>
        </w:tc>
        <w:tc>
          <w:tcPr>
            <w:tcW w:w="4578" w:type="dxa"/>
            <w:shd w:val="clear" w:color="auto" w:fill="FEF2CC" w:themeFill="accent4" w:themeFillTint="32"/>
            <w:vAlign w:val="top"/>
          </w:tcPr>
          <w:p>
            <w:pPr>
              <w:keepNext w:val="0"/>
              <w:keepLines w:val="0"/>
              <w:pageBreakBefore w:val="0"/>
              <w:widowControl/>
              <w:kinsoku/>
              <w:wordWrap/>
              <w:overflowPunct/>
              <w:topLinePunct w:val="0"/>
              <w:autoSpaceDE/>
              <w:autoSpaceDN/>
              <w:bidi w:val="0"/>
              <w:adjustRightInd/>
              <w:snapToGrid/>
              <w:spacing w:line="220" w:lineRule="exact"/>
              <w:jc w:val="both"/>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具体需求：中国传统文创产品、皮草商家等</w:t>
            </w:r>
          </w:p>
          <w:p>
            <w:pPr>
              <w:keepNext w:val="0"/>
              <w:keepLines w:val="0"/>
              <w:pageBreakBefore w:val="0"/>
              <w:widowControl/>
              <w:kinsoku/>
              <w:wordWrap/>
              <w:overflowPunct/>
              <w:topLinePunct w:val="0"/>
              <w:autoSpaceDE/>
              <w:autoSpaceDN/>
              <w:bidi w:val="0"/>
              <w:adjustRightInd/>
              <w:snapToGrid/>
              <w:spacing w:line="220" w:lineRule="exact"/>
              <w:jc w:val="both"/>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活动时间：2019/11-12月</w:t>
            </w:r>
          </w:p>
          <w:p>
            <w:pPr>
              <w:keepNext w:val="0"/>
              <w:keepLines w:val="0"/>
              <w:pageBreakBefore w:val="0"/>
              <w:widowControl/>
              <w:kinsoku/>
              <w:wordWrap/>
              <w:overflowPunct/>
              <w:topLinePunct w:val="0"/>
              <w:autoSpaceDE/>
              <w:autoSpaceDN/>
              <w:bidi w:val="0"/>
              <w:adjustRightInd/>
              <w:snapToGrid/>
              <w:spacing w:line="220" w:lineRule="exact"/>
              <w:jc w:val="both"/>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活动地点：成都国际商贸城</w:t>
            </w:r>
          </w:p>
          <w:p>
            <w:pPr>
              <w:keepNext w:val="0"/>
              <w:keepLines w:val="0"/>
              <w:pageBreakBefore w:val="0"/>
              <w:widowControl/>
              <w:kinsoku/>
              <w:wordWrap/>
              <w:overflowPunct/>
              <w:topLinePunct w:val="0"/>
              <w:autoSpaceDE/>
              <w:autoSpaceDN/>
              <w:bidi w:val="0"/>
              <w:adjustRightInd/>
              <w:snapToGrid/>
              <w:spacing w:line="220" w:lineRule="exact"/>
              <w:jc w:val="both"/>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活动场次：整档</w:t>
            </w:r>
          </w:p>
          <w:p>
            <w:pPr>
              <w:keepNext w:val="0"/>
              <w:keepLines w:val="0"/>
              <w:pageBreakBefore w:val="0"/>
              <w:widowControl/>
              <w:kinsoku/>
              <w:wordWrap/>
              <w:overflowPunct/>
              <w:topLinePunct w:val="0"/>
              <w:autoSpaceDE/>
              <w:autoSpaceDN/>
              <w:bidi w:val="0"/>
              <w:adjustRightInd/>
              <w:snapToGrid/>
              <w:spacing w:line="220" w:lineRule="exact"/>
              <w:jc w:val="both"/>
              <w:textAlignment w:val="auto"/>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color w:val="000000"/>
                <w:sz w:val="18"/>
                <w:szCs w:val="18"/>
              </w:rPr>
              <w:t>活动规模：展区1000m²以上</w:t>
            </w:r>
          </w:p>
        </w:tc>
        <w:tc>
          <w:tcPr>
            <w:tcW w:w="851" w:type="dxa"/>
            <w:vMerge w:val="restart"/>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伊厦</w:t>
            </w:r>
          </w:p>
          <w:p>
            <w:pPr>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成都</w:t>
            </w:r>
          </w:p>
          <w:p>
            <w:pPr>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国际</w:t>
            </w:r>
          </w:p>
          <w:p>
            <w:pPr>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商贸城股份</w:t>
            </w:r>
          </w:p>
          <w:p>
            <w:pPr>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有限</w:t>
            </w:r>
          </w:p>
          <w:p>
            <w:pPr>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rPr>
              <w:t>公司</w:t>
            </w:r>
          </w:p>
        </w:tc>
        <w:tc>
          <w:tcPr>
            <w:tcW w:w="796" w:type="dxa"/>
            <w:vMerge w:val="restart"/>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rPr>
              <w:t>钟霞</w:t>
            </w:r>
          </w:p>
        </w:tc>
        <w:tc>
          <w:tcPr>
            <w:tcW w:w="1262" w:type="dxa"/>
            <w:vMerge w:val="restart"/>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rPr>
              <w:t>18282022170</w:t>
            </w:r>
          </w:p>
        </w:tc>
        <w:tc>
          <w:tcPr>
            <w:tcW w:w="975" w:type="dxa"/>
            <w:vMerge w:val="restart"/>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color w:val="000000"/>
                <w:sz w:val="18"/>
                <w:szCs w:val="18"/>
                <w:lang w:val="en-US" w:eastAsia="zh-CN"/>
              </w:rPr>
            </w:pPr>
            <w:r>
              <w:rPr>
                <w:rFonts w:hint="eastAsia" w:asciiTheme="minorEastAsia" w:hAnsiTheme="minorEastAsia" w:eastAsiaTheme="minorEastAsia" w:cstheme="minorEastAsia"/>
                <w:color w:val="000000"/>
                <w:sz w:val="18"/>
                <w:szCs w:val="18"/>
              </w:rPr>
              <w:t>2019.</w:t>
            </w:r>
            <w:r>
              <w:rPr>
                <w:rFonts w:hint="eastAsia" w:asciiTheme="minorEastAsia" w:hAnsiTheme="minorEastAsia" w:eastAsiaTheme="minorEastAsia" w:cstheme="minorEastAsia"/>
                <w:color w:val="000000"/>
                <w:sz w:val="18"/>
                <w:szCs w:val="18"/>
                <w:lang w:val="en-US" w:eastAsia="zh-CN"/>
              </w:rPr>
              <w:t>9-</w:t>
            </w:r>
          </w:p>
          <w:p>
            <w:pPr>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rPr>
              <w:t>12</w:t>
            </w:r>
          </w:p>
        </w:tc>
        <w:tc>
          <w:tcPr>
            <w:tcW w:w="779" w:type="dxa"/>
            <w:vMerge w:val="restart"/>
            <w:tcBorders>
              <w:right w:val="single" w:color="auto" w:sz="4" w:space="0"/>
            </w:tcBorders>
            <w:shd w:val="clear" w:color="auto" w:fill="FEF2CC" w:themeFill="accent4" w:themeFillTint="32"/>
            <w:vAlign w:val="center"/>
          </w:tcPr>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天府</w:t>
            </w:r>
          </w:p>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国际</w:t>
            </w:r>
          </w:p>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商贸</w:t>
            </w:r>
          </w:p>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商务</w:t>
            </w:r>
          </w:p>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功能区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567" w:hRule="atLeast"/>
        </w:trPr>
        <w:tc>
          <w:tcPr>
            <w:tcW w:w="1248" w:type="dxa"/>
            <w:vMerge w:val="continue"/>
            <w:tcBorders>
              <w:left w:val="single" w:color="auto" w:sz="4" w:space="0"/>
            </w:tcBorders>
            <w:shd w:val="clear" w:color="auto" w:fill="FFD965" w:themeFill="accent4" w:themeFillTint="99"/>
            <w:vAlign w:val="center"/>
          </w:tcPr>
          <w:p>
            <w:pPr>
              <w:spacing w:line="240" w:lineRule="exact"/>
              <w:jc w:val="center"/>
              <w:rPr>
                <w:rFonts w:ascii="方正兰亭黑_GBK" w:hAnsi="方正兰亭黑_GBK" w:eastAsia="方正兰亭黑_GBK" w:cs="方正兰亭黑_GBK"/>
                <w:color w:val="000000"/>
                <w:sz w:val="18"/>
                <w:szCs w:val="18"/>
              </w:rPr>
            </w:pPr>
          </w:p>
        </w:tc>
        <w:tc>
          <w:tcPr>
            <w:tcW w:w="2178" w:type="dxa"/>
            <w:vMerge w:val="continue"/>
            <w:shd w:val="clear" w:color="auto" w:fill="FFE599" w:themeFill="accent4" w:themeFillTint="66"/>
            <w:vAlign w:val="center"/>
          </w:tcPr>
          <w:p>
            <w:pPr>
              <w:spacing w:line="240" w:lineRule="exact"/>
              <w:jc w:val="center"/>
              <w:rPr>
                <w:rFonts w:asciiTheme="minorEastAsia" w:hAnsiTheme="minorEastAsia" w:eastAsiaTheme="minorEastAsia" w:cstheme="minorEastAsia"/>
                <w:sz w:val="18"/>
                <w:szCs w:val="18"/>
              </w:rPr>
            </w:pPr>
          </w:p>
        </w:tc>
        <w:tc>
          <w:tcPr>
            <w:tcW w:w="645" w:type="dxa"/>
            <w:vMerge w:val="continue"/>
            <w:shd w:val="clear" w:color="auto" w:fill="FEF2CC" w:themeFill="accent4" w:themeFillTint="32"/>
            <w:vAlign w:val="center"/>
          </w:tcPr>
          <w:p>
            <w:pPr>
              <w:spacing w:line="240" w:lineRule="exact"/>
              <w:jc w:val="center"/>
              <w:rPr>
                <w:rFonts w:hint="eastAsia" w:ascii="方正兰亭黑_GBK" w:hAnsi="方正兰亭黑_GBK" w:eastAsia="方正兰亭黑_GBK" w:cs="方正兰亭黑_GBK"/>
                <w:color w:val="000000"/>
                <w:sz w:val="18"/>
                <w:szCs w:val="18"/>
              </w:rPr>
            </w:pPr>
          </w:p>
        </w:tc>
        <w:tc>
          <w:tcPr>
            <w:tcW w:w="990" w:type="dxa"/>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迎春大庙会</w:t>
            </w:r>
          </w:p>
        </w:tc>
        <w:tc>
          <w:tcPr>
            <w:tcW w:w="4578" w:type="dxa"/>
            <w:shd w:val="clear" w:color="auto" w:fill="FEF2CC" w:themeFill="accent4" w:themeFillTint="32"/>
            <w:vAlign w:val="top"/>
          </w:tcPr>
          <w:p>
            <w:pPr>
              <w:keepNext w:val="0"/>
              <w:keepLines w:val="0"/>
              <w:pageBreakBefore w:val="0"/>
              <w:widowControl/>
              <w:kinsoku/>
              <w:wordWrap/>
              <w:overflowPunct/>
              <w:topLinePunct w:val="0"/>
              <w:autoSpaceDE/>
              <w:autoSpaceDN/>
              <w:bidi w:val="0"/>
              <w:adjustRightInd/>
              <w:snapToGrid/>
              <w:spacing w:line="220" w:lineRule="exact"/>
              <w:jc w:val="both"/>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具体需求：中国传统文创产品、四川传统美食、儿童娱乐教育、高科技产品、美容等</w:t>
            </w:r>
          </w:p>
          <w:p>
            <w:pPr>
              <w:keepNext w:val="0"/>
              <w:keepLines w:val="0"/>
              <w:pageBreakBefore w:val="0"/>
              <w:widowControl/>
              <w:kinsoku/>
              <w:wordWrap/>
              <w:overflowPunct/>
              <w:topLinePunct w:val="0"/>
              <w:autoSpaceDE/>
              <w:autoSpaceDN/>
              <w:bidi w:val="0"/>
              <w:adjustRightInd/>
              <w:snapToGrid/>
              <w:spacing w:line="220" w:lineRule="exact"/>
              <w:jc w:val="both"/>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活动时间：2020/1月</w:t>
            </w:r>
          </w:p>
          <w:p>
            <w:pPr>
              <w:keepNext w:val="0"/>
              <w:keepLines w:val="0"/>
              <w:pageBreakBefore w:val="0"/>
              <w:widowControl/>
              <w:kinsoku/>
              <w:wordWrap/>
              <w:overflowPunct/>
              <w:topLinePunct w:val="0"/>
              <w:autoSpaceDE/>
              <w:autoSpaceDN/>
              <w:bidi w:val="0"/>
              <w:adjustRightInd/>
              <w:snapToGrid/>
              <w:spacing w:line="220" w:lineRule="exact"/>
              <w:jc w:val="both"/>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活动地点：成都国际商贸城</w:t>
            </w:r>
          </w:p>
          <w:p>
            <w:pPr>
              <w:keepNext w:val="0"/>
              <w:keepLines w:val="0"/>
              <w:pageBreakBefore w:val="0"/>
              <w:widowControl/>
              <w:kinsoku/>
              <w:wordWrap/>
              <w:overflowPunct/>
              <w:topLinePunct w:val="0"/>
              <w:autoSpaceDE/>
              <w:autoSpaceDN/>
              <w:bidi w:val="0"/>
              <w:adjustRightInd/>
              <w:snapToGrid/>
              <w:spacing w:line="220" w:lineRule="exact"/>
              <w:jc w:val="both"/>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活动场次：整档</w:t>
            </w:r>
          </w:p>
          <w:p>
            <w:pPr>
              <w:keepNext w:val="0"/>
              <w:keepLines w:val="0"/>
              <w:pageBreakBefore w:val="0"/>
              <w:widowControl/>
              <w:kinsoku/>
              <w:wordWrap/>
              <w:overflowPunct/>
              <w:topLinePunct w:val="0"/>
              <w:autoSpaceDE/>
              <w:autoSpaceDN/>
              <w:bidi w:val="0"/>
              <w:adjustRightInd/>
              <w:snapToGrid/>
              <w:spacing w:line="220" w:lineRule="exact"/>
              <w:jc w:val="both"/>
              <w:textAlignment w:val="auto"/>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color w:val="000000"/>
                <w:sz w:val="18"/>
                <w:szCs w:val="18"/>
              </w:rPr>
              <w:t>活动规模：展区5000m²以上</w:t>
            </w:r>
          </w:p>
        </w:tc>
        <w:tc>
          <w:tcPr>
            <w:tcW w:w="851" w:type="dxa"/>
            <w:vMerge w:val="continue"/>
            <w:shd w:val="clear" w:color="auto" w:fill="FEF2CC" w:themeFill="accent4" w:themeFillTint="32"/>
            <w:vAlign w:val="center"/>
          </w:tcPr>
          <w:p>
            <w:pPr>
              <w:spacing w:line="240" w:lineRule="exact"/>
              <w:rPr>
                <w:rFonts w:hint="eastAsia" w:asciiTheme="minorEastAsia" w:hAnsiTheme="minorEastAsia" w:eastAsiaTheme="minorEastAsia" w:cstheme="minorEastAsia"/>
                <w:sz w:val="18"/>
                <w:szCs w:val="18"/>
              </w:rPr>
            </w:pPr>
          </w:p>
        </w:tc>
        <w:tc>
          <w:tcPr>
            <w:tcW w:w="796" w:type="dxa"/>
            <w:vMerge w:val="continue"/>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sz w:val="18"/>
                <w:szCs w:val="18"/>
              </w:rPr>
            </w:pPr>
          </w:p>
        </w:tc>
        <w:tc>
          <w:tcPr>
            <w:tcW w:w="1262" w:type="dxa"/>
            <w:vMerge w:val="continue"/>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sz w:val="18"/>
                <w:szCs w:val="18"/>
              </w:rPr>
            </w:pPr>
          </w:p>
        </w:tc>
        <w:tc>
          <w:tcPr>
            <w:tcW w:w="975" w:type="dxa"/>
            <w:vMerge w:val="continue"/>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sz w:val="18"/>
                <w:szCs w:val="18"/>
              </w:rPr>
            </w:pPr>
          </w:p>
        </w:tc>
        <w:tc>
          <w:tcPr>
            <w:tcW w:w="779" w:type="dxa"/>
            <w:vMerge w:val="continue"/>
            <w:tcBorders>
              <w:right w:val="single" w:color="auto" w:sz="4" w:space="0"/>
            </w:tcBorders>
            <w:shd w:val="clear" w:color="auto" w:fill="FEF2CC" w:themeFill="accent4" w:themeFillTint="32"/>
            <w:vAlign w:val="center"/>
          </w:tcPr>
          <w:p>
            <w:pPr>
              <w:spacing w:line="240" w:lineRule="exact"/>
              <w:jc w:val="center"/>
              <w:rPr>
                <w:rFonts w:ascii="方正兰亭黑_GBK" w:hAnsi="方正兰亭黑_GBK" w:eastAsia="方正兰亭黑_GBK" w:cs="方正兰亭黑_GBK"/>
                <w:color w:val="00000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526" w:hRule="atLeast"/>
        </w:trPr>
        <w:tc>
          <w:tcPr>
            <w:tcW w:w="1248" w:type="dxa"/>
            <w:vMerge w:val="continue"/>
            <w:tcBorders>
              <w:left w:val="single" w:color="auto" w:sz="4" w:space="0"/>
            </w:tcBorders>
            <w:shd w:val="clear" w:color="auto" w:fill="FFD965" w:themeFill="accent4" w:themeFillTint="99"/>
            <w:vAlign w:val="center"/>
          </w:tcPr>
          <w:p>
            <w:pPr>
              <w:spacing w:line="240" w:lineRule="exact"/>
              <w:jc w:val="center"/>
              <w:rPr>
                <w:rFonts w:ascii="方正兰亭黑_GBK" w:hAnsi="方正兰亭黑_GBK" w:eastAsia="方正兰亭黑_GBK" w:cs="方正兰亭黑_GBK"/>
                <w:color w:val="000000"/>
                <w:sz w:val="18"/>
                <w:szCs w:val="18"/>
              </w:rPr>
            </w:pPr>
          </w:p>
        </w:tc>
        <w:tc>
          <w:tcPr>
            <w:tcW w:w="2178" w:type="dxa"/>
            <w:vMerge w:val="continue"/>
            <w:shd w:val="clear" w:color="auto" w:fill="FFE599" w:themeFill="accent4" w:themeFillTint="66"/>
            <w:vAlign w:val="center"/>
          </w:tcPr>
          <w:p>
            <w:pPr>
              <w:spacing w:line="240" w:lineRule="exact"/>
              <w:jc w:val="center"/>
              <w:rPr>
                <w:rFonts w:asciiTheme="minorEastAsia" w:hAnsiTheme="minorEastAsia" w:eastAsiaTheme="minorEastAsia" w:cstheme="minorEastAsia"/>
                <w:sz w:val="18"/>
                <w:szCs w:val="18"/>
              </w:rPr>
            </w:pPr>
          </w:p>
        </w:tc>
        <w:tc>
          <w:tcPr>
            <w:tcW w:w="645" w:type="dxa"/>
            <w:shd w:val="clear" w:color="auto" w:fill="FEF2CC" w:themeFill="accent4" w:themeFillTint="32"/>
            <w:vAlign w:val="center"/>
          </w:tcPr>
          <w:p>
            <w:pPr>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人才需求</w:t>
            </w:r>
          </w:p>
        </w:tc>
        <w:tc>
          <w:tcPr>
            <w:tcW w:w="990" w:type="dxa"/>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招商管理人才</w:t>
            </w:r>
          </w:p>
        </w:tc>
        <w:tc>
          <w:tcPr>
            <w:tcW w:w="4578" w:type="dxa"/>
            <w:shd w:val="clear" w:color="auto" w:fill="FEF2CC" w:themeFill="accent4" w:themeFillTint="32"/>
            <w:vAlign w:val="top"/>
          </w:tcPr>
          <w:p>
            <w:pPr>
              <w:keepNext w:val="0"/>
              <w:keepLines w:val="0"/>
              <w:pageBreakBefore w:val="0"/>
              <w:widowControl/>
              <w:kinsoku/>
              <w:wordWrap/>
              <w:overflowPunct/>
              <w:topLinePunct w:val="0"/>
              <w:autoSpaceDE/>
              <w:autoSpaceDN/>
              <w:bidi w:val="0"/>
              <w:adjustRightInd/>
              <w:snapToGrid/>
              <w:spacing w:line="220" w:lineRule="exact"/>
              <w:jc w:val="both"/>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专业要求：大专及以上学历，经管系、国际贸易、商务英语专业人员优先</w:t>
            </w:r>
          </w:p>
          <w:p>
            <w:pPr>
              <w:keepNext w:val="0"/>
              <w:keepLines w:val="0"/>
              <w:pageBreakBefore w:val="0"/>
              <w:widowControl/>
              <w:kinsoku/>
              <w:wordWrap/>
              <w:overflowPunct/>
              <w:topLinePunct w:val="0"/>
              <w:autoSpaceDE/>
              <w:autoSpaceDN/>
              <w:bidi w:val="0"/>
              <w:adjustRightInd/>
              <w:snapToGrid/>
              <w:spacing w:line="220" w:lineRule="exact"/>
              <w:jc w:val="both"/>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资历要求：5年以上相关工作经验</w:t>
            </w:r>
          </w:p>
          <w:p>
            <w:pPr>
              <w:keepNext w:val="0"/>
              <w:keepLines w:val="0"/>
              <w:pageBreakBefore w:val="0"/>
              <w:widowControl/>
              <w:kinsoku/>
              <w:wordWrap/>
              <w:overflowPunct/>
              <w:topLinePunct w:val="0"/>
              <w:autoSpaceDE/>
              <w:autoSpaceDN/>
              <w:bidi w:val="0"/>
              <w:adjustRightInd/>
              <w:snapToGrid/>
              <w:spacing w:line="220" w:lineRule="exact"/>
              <w:jc w:val="both"/>
              <w:textAlignment w:val="auto"/>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能力要求：具备丰富的招商资源和招商公关能力、商务谈判能力及团队管理能力；具备商场氛围营造、陈列布置、商品展示及消费者心理引导实战经验；熟悉商业综合体市场管理及营运工作，洞察商户需求并提供持续服务；熟悉市场调研的基本方法、工具，善于数据分析及市场业态规划；具有一定营销策划、活动组织、商户联谊及商场促销管理工作经验</w:t>
            </w:r>
          </w:p>
          <w:p>
            <w:pPr>
              <w:keepNext w:val="0"/>
              <w:keepLines w:val="0"/>
              <w:pageBreakBefore w:val="0"/>
              <w:widowControl/>
              <w:kinsoku/>
              <w:wordWrap/>
              <w:overflowPunct/>
              <w:topLinePunct w:val="0"/>
              <w:autoSpaceDE/>
              <w:autoSpaceDN/>
              <w:bidi w:val="0"/>
              <w:adjustRightInd/>
              <w:snapToGrid/>
              <w:spacing w:line="220" w:lineRule="exact"/>
              <w:jc w:val="both"/>
              <w:textAlignment w:val="auto"/>
              <w:rPr>
                <w:rFonts w:hint="eastAsia" w:asciiTheme="minorEastAsia" w:hAnsiTheme="minorEastAsia" w:eastAsiaTheme="minorEastAsia" w:cstheme="minorEastAsia"/>
                <w:sz w:val="18"/>
                <w:szCs w:val="18"/>
                <w:highlight w:val="none"/>
                <w:lang w:val="en-US" w:eastAsia="zh-CN"/>
              </w:rPr>
            </w:pPr>
            <w:r>
              <w:rPr>
                <w:rFonts w:hint="eastAsia" w:asciiTheme="minorEastAsia" w:hAnsiTheme="minorEastAsia" w:eastAsiaTheme="minorEastAsia" w:cstheme="minorEastAsia"/>
                <w:color w:val="000000"/>
                <w:sz w:val="18"/>
                <w:szCs w:val="18"/>
              </w:rPr>
              <w:t>需求数量：6</w:t>
            </w:r>
            <w:r>
              <w:rPr>
                <w:rFonts w:hint="eastAsia" w:asciiTheme="minorEastAsia" w:hAnsiTheme="minorEastAsia" w:eastAsiaTheme="minorEastAsia" w:cstheme="minorEastAsia"/>
                <w:color w:val="000000"/>
                <w:sz w:val="18"/>
                <w:szCs w:val="18"/>
                <w:lang w:eastAsia="zh-CN"/>
              </w:rPr>
              <w:t>名</w:t>
            </w:r>
          </w:p>
        </w:tc>
        <w:tc>
          <w:tcPr>
            <w:tcW w:w="851" w:type="dxa"/>
            <w:vMerge w:val="continue"/>
            <w:shd w:val="clear" w:color="auto" w:fill="FEF2CC" w:themeFill="accent4" w:themeFillTint="32"/>
            <w:vAlign w:val="center"/>
          </w:tcPr>
          <w:p>
            <w:pPr>
              <w:spacing w:line="240" w:lineRule="exact"/>
              <w:rPr>
                <w:rFonts w:hint="eastAsia" w:asciiTheme="minorEastAsia" w:hAnsiTheme="minorEastAsia" w:eastAsiaTheme="minorEastAsia" w:cstheme="minorEastAsia"/>
                <w:sz w:val="18"/>
                <w:szCs w:val="18"/>
              </w:rPr>
            </w:pPr>
          </w:p>
        </w:tc>
        <w:tc>
          <w:tcPr>
            <w:tcW w:w="796" w:type="dxa"/>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rPr>
              <w:t>曾燕</w:t>
            </w:r>
          </w:p>
        </w:tc>
        <w:tc>
          <w:tcPr>
            <w:tcW w:w="1262" w:type="dxa"/>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pacing w:val="-6"/>
                <w:sz w:val="18"/>
                <w:szCs w:val="18"/>
              </w:rPr>
              <w:t>028-83589119</w:t>
            </w:r>
          </w:p>
        </w:tc>
        <w:tc>
          <w:tcPr>
            <w:tcW w:w="975" w:type="dxa"/>
            <w:shd w:val="clear" w:color="auto" w:fill="FEF2CC" w:themeFill="accent4" w:themeFillTint="32"/>
            <w:vAlign w:val="center"/>
          </w:tcPr>
          <w:p>
            <w:pPr>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sz w:val="18"/>
                <w:szCs w:val="18"/>
              </w:rPr>
              <w:t>2019.9-</w:t>
            </w:r>
          </w:p>
          <w:p>
            <w:pPr>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color w:val="000000"/>
                <w:sz w:val="18"/>
                <w:szCs w:val="18"/>
              </w:rPr>
              <w:t>2020.5</w:t>
            </w:r>
          </w:p>
        </w:tc>
        <w:tc>
          <w:tcPr>
            <w:tcW w:w="779" w:type="dxa"/>
            <w:vMerge w:val="continue"/>
            <w:tcBorders>
              <w:right w:val="single" w:color="auto" w:sz="4" w:space="0"/>
            </w:tcBorders>
            <w:shd w:val="clear" w:color="auto" w:fill="FEF2CC" w:themeFill="accent4" w:themeFillTint="32"/>
            <w:vAlign w:val="center"/>
          </w:tcPr>
          <w:p>
            <w:pPr>
              <w:spacing w:line="240" w:lineRule="exact"/>
              <w:jc w:val="center"/>
              <w:rPr>
                <w:rFonts w:ascii="方正兰亭黑_GBK" w:hAnsi="方正兰亭黑_GBK" w:eastAsia="方正兰亭黑_GBK" w:cs="方正兰亭黑_GBK"/>
                <w:color w:val="000000"/>
                <w:sz w:val="18"/>
                <w:szCs w:val="18"/>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757" w:hRule="atLeast"/>
        </w:trPr>
        <w:tc>
          <w:tcPr>
            <w:tcW w:w="1248" w:type="dxa"/>
            <w:tcBorders>
              <w:left w:val="single" w:color="auto" w:sz="4" w:space="0"/>
            </w:tcBorders>
            <w:shd w:val="clear" w:color="auto" w:fill="9CC2E5" w:themeFill="accent1" w:themeFillTint="99"/>
            <w:vAlign w:val="center"/>
          </w:tcPr>
          <w:p>
            <w:pPr>
              <w:widowControl/>
              <w:spacing w:line="240" w:lineRule="exact"/>
              <w:jc w:val="center"/>
              <w:rPr>
                <w:rFonts w:hint="eastAsia" w:ascii="方正兰亭黑_GBK" w:hAnsi="方正兰亭黑_GBK" w:eastAsia="方正兰亭黑_GBK" w:cs="方正兰亭黑_GBK"/>
                <w:bCs/>
                <w:kern w:val="0"/>
                <w:sz w:val="18"/>
                <w:szCs w:val="18"/>
              </w:rPr>
            </w:pPr>
            <w:r>
              <w:rPr>
                <w:rFonts w:hint="eastAsia" w:ascii="方正兰亭黑_GBK" w:hAnsi="方正兰亭黑_GBK" w:eastAsia="方正兰亭黑_GBK" w:cs="方正兰亭黑_GBK"/>
                <w:bCs/>
                <w:kern w:val="0"/>
                <w:sz w:val="18"/>
                <w:szCs w:val="18"/>
              </w:rPr>
              <w:t>四川路威特物流园</w:t>
            </w:r>
          </w:p>
          <w:p>
            <w:pPr>
              <w:widowControl/>
              <w:spacing w:line="240" w:lineRule="exact"/>
              <w:jc w:val="both"/>
              <w:rPr>
                <w:rFonts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5"/>
                <w:szCs w:val="15"/>
              </w:rPr>
              <w:t>（成都青白江）</w:t>
            </w:r>
          </w:p>
        </w:tc>
        <w:tc>
          <w:tcPr>
            <w:tcW w:w="2178" w:type="dxa"/>
            <w:shd w:val="clear" w:color="auto" w:fill="BDD6EE" w:themeFill="accent1" w:themeFillTint="66"/>
            <w:vAlign w:val="top"/>
          </w:tcPr>
          <w:p>
            <w:pPr>
              <w:widowControl/>
              <w:spacing w:line="240" w:lineRule="exact"/>
              <w:jc w:val="both"/>
              <w:rPr>
                <w:rFonts w:asciiTheme="minorEastAsia" w:hAnsiTheme="minorEastAsia" w:eastAsiaTheme="minorEastAsia" w:cstheme="minorEastAsia"/>
                <w:sz w:val="18"/>
                <w:szCs w:val="18"/>
              </w:rPr>
            </w:pPr>
            <w:r>
              <w:rPr>
                <w:rFonts w:hint="eastAsia" w:asciiTheme="minorEastAsia" w:hAnsiTheme="minorEastAsia" w:eastAsiaTheme="minorEastAsia" w:cstheme="minorEastAsia"/>
                <w:color w:val="auto"/>
                <w:sz w:val="16"/>
                <w:szCs w:val="16"/>
                <w:lang w:eastAsia="zh-CN"/>
              </w:rPr>
              <w:t>物流园通过提供建筑面积18000平方米左右的现代化仓库，拟引入符合现代物流业态要求，同时在青白江工商注册有仓储业务需求的公司，以调整和完善企业业务发展需要，解决仓储地块闲置，打造物流仓储资源共享场景，项目建成后可增加产值五百多万，新增税收三十余万，可新增就业近百人</w:t>
            </w:r>
          </w:p>
        </w:tc>
        <w:tc>
          <w:tcPr>
            <w:tcW w:w="645" w:type="dxa"/>
            <w:shd w:val="clear" w:color="auto" w:fill="DEEBF6" w:themeFill="accent1" w:themeFillTint="32"/>
            <w:vAlign w:val="center"/>
          </w:tcPr>
          <w:p>
            <w:pPr>
              <w:widowControl/>
              <w:spacing w:line="240" w:lineRule="exact"/>
              <w:jc w:val="center"/>
              <w:rPr>
                <w:rFonts w:hint="eastAsia" w:ascii="方正兰亭黑_GBK" w:hAnsi="方正兰亭黑_GBK" w:eastAsia="方正兰亭黑_GBK" w:cs="方正兰亭黑_GBK"/>
                <w:color w:val="000000"/>
                <w:sz w:val="18"/>
                <w:szCs w:val="18"/>
              </w:rPr>
            </w:pPr>
            <w:r>
              <w:rPr>
                <w:rFonts w:hint="eastAsia" w:ascii="方正兰亭黑_GBK" w:hAnsi="方正兰亭黑_GBK" w:eastAsia="方正兰亭黑_GBK" w:cs="方正兰亭黑_GBK"/>
                <w:color w:val="000000"/>
                <w:sz w:val="18"/>
                <w:szCs w:val="18"/>
              </w:rPr>
              <w:t>基础设施</w:t>
            </w:r>
            <w:r>
              <w:rPr>
                <w:rFonts w:hint="eastAsia" w:ascii="方正兰亭黑_GBK" w:hAnsi="方正兰亭黑_GBK" w:eastAsia="方正兰亭黑_GBK" w:cs="方正兰亭黑_GBK"/>
                <w:color w:val="000000"/>
                <w:sz w:val="18"/>
                <w:szCs w:val="18"/>
                <w:lang w:eastAsia="zh-CN"/>
              </w:rPr>
              <w:t>建设</w:t>
            </w:r>
          </w:p>
        </w:tc>
        <w:tc>
          <w:tcPr>
            <w:tcW w:w="990" w:type="dxa"/>
            <w:shd w:val="clear" w:color="auto" w:fill="DEEBF6" w:themeFill="accent1" w:themeFillTint="32"/>
            <w:vAlign w:val="center"/>
          </w:tcPr>
          <w:p>
            <w:pPr>
              <w:spacing w:line="28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kern w:val="0"/>
                <w:sz w:val="18"/>
                <w:szCs w:val="18"/>
              </w:rPr>
              <w:t>7号仓库招租建设</w:t>
            </w:r>
          </w:p>
        </w:tc>
        <w:tc>
          <w:tcPr>
            <w:tcW w:w="4578" w:type="dxa"/>
            <w:shd w:val="clear" w:color="auto" w:fill="DEEBF6" w:themeFill="accent1" w:themeFillTint="32"/>
            <w:vAlign w:val="center"/>
          </w:tcPr>
          <w:p>
            <w:pPr>
              <w:spacing w:line="280" w:lineRule="exact"/>
              <w:jc w:val="both"/>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项目地点: 成都市青白江区金芙蓉大道三段1559号</w:t>
            </w:r>
          </w:p>
          <w:p>
            <w:pPr>
              <w:spacing w:line="280" w:lineRule="exact"/>
              <w:jc w:val="both"/>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估算投资规模：3500万元</w:t>
            </w:r>
          </w:p>
          <w:p>
            <w:pPr>
              <w:spacing w:line="280" w:lineRule="exact"/>
              <w:jc w:val="both"/>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建设周期：2020-2021</w:t>
            </w:r>
          </w:p>
          <w:p>
            <w:pPr>
              <w:spacing w:line="280" w:lineRule="exact"/>
              <w:jc w:val="both"/>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kern w:val="0"/>
                <w:sz w:val="18"/>
                <w:szCs w:val="18"/>
              </w:rPr>
              <w:t>具体需求：通过招租确认需求后拟建设7号18000平方米高货台丙二类仓库</w:t>
            </w:r>
          </w:p>
        </w:tc>
        <w:tc>
          <w:tcPr>
            <w:tcW w:w="851" w:type="dxa"/>
            <w:shd w:val="clear" w:color="auto" w:fill="DEEBF6" w:themeFill="accent1" w:themeFillTint="32"/>
            <w:vAlign w:val="center"/>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四川</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路威特物流</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有限</w:t>
            </w:r>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kern w:val="0"/>
                <w:sz w:val="18"/>
                <w:szCs w:val="18"/>
              </w:rPr>
              <w:t>公司</w:t>
            </w:r>
          </w:p>
        </w:tc>
        <w:tc>
          <w:tcPr>
            <w:tcW w:w="796" w:type="dxa"/>
            <w:shd w:val="clear" w:color="auto" w:fill="DEEBF6" w:themeFill="accent1" w:themeFillTint="32"/>
            <w:vAlign w:val="center"/>
          </w:tcPr>
          <w:p>
            <w:pPr>
              <w:spacing w:line="28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kern w:val="0"/>
                <w:sz w:val="18"/>
                <w:szCs w:val="18"/>
              </w:rPr>
              <w:t>郑杰辉</w:t>
            </w:r>
          </w:p>
        </w:tc>
        <w:tc>
          <w:tcPr>
            <w:tcW w:w="1262" w:type="dxa"/>
            <w:shd w:val="clear" w:color="auto" w:fill="DEEBF6" w:themeFill="accent1" w:themeFillTint="32"/>
            <w:vAlign w:val="center"/>
          </w:tcPr>
          <w:p>
            <w:pPr>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spacing w:val="-6"/>
                <w:sz w:val="18"/>
                <w:szCs w:val="18"/>
              </w:rPr>
              <w:t>028-61589077</w:t>
            </w:r>
          </w:p>
        </w:tc>
        <w:tc>
          <w:tcPr>
            <w:tcW w:w="975" w:type="dxa"/>
            <w:shd w:val="clear" w:color="auto" w:fill="DEEBF6" w:themeFill="accent1" w:themeFillTint="32"/>
            <w:vAlign w:val="center"/>
          </w:tcPr>
          <w:p>
            <w:pPr>
              <w:spacing w:line="240" w:lineRule="exact"/>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2020.3-</w:t>
            </w:r>
          </w:p>
          <w:p>
            <w:pPr>
              <w:spacing w:line="240" w:lineRule="exact"/>
              <w:jc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sz w:val="18"/>
                <w:szCs w:val="18"/>
              </w:rPr>
              <w:t>2021.5</w:t>
            </w:r>
          </w:p>
        </w:tc>
        <w:tc>
          <w:tcPr>
            <w:tcW w:w="779" w:type="dxa"/>
            <w:tcBorders>
              <w:right w:val="single" w:color="auto" w:sz="4" w:space="0"/>
            </w:tcBorders>
            <w:shd w:val="clear" w:color="auto" w:fill="DEEBF6" w:themeFill="accent1" w:themeFillTint="32"/>
            <w:vAlign w:val="center"/>
          </w:tcPr>
          <w:p>
            <w:pPr>
              <w:spacing w:line="240" w:lineRule="exact"/>
              <w:jc w:val="center"/>
              <w:rPr>
                <w:rFonts w:hint="default" w:ascii="Times New Roman" w:hAnsi="Times New Roman" w:eastAsia="方正黑体_GBK" w:cs="Times New Roman"/>
                <w:color w:val="000000"/>
                <w:sz w:val="18"/>
                <w:szCs w:val="18"/>
                <w:lang w:eastAsia="zh-CN"/>
              </w:rPr>
            </w:pPr>
            <w:r>
              <w:rPr>
                <w:rFonts w:hint="default" w:ascii="Times New Roman" w:hAnsi="Times New Roman" w:eastAsia="方正黑体_GBK" w:cs="Times New Roman"/>
                <w:color w:val="000000"/>
                <w:sz w:val="18"/>
                <w:szCs w:val="18"/>
                <w:lang w:eastAsia="zh-CN"/>
              </w:rPr>
              <w:t>临港</w:t>
            </w:r>
          </w:p>
          <w:p>
            <w:pPr>
              <w:spacing w:line="240" w:lineRule="exact"/>
              <w:jc w:val="center"/>
              <w:rPr>
                <w:rFonts w:ascii="方正兰亭黑_GBK" w:hAnsi="方正兰亭黑_GBK" w:eastAsia="方正兰亭黑_GBK" w:cs="方正兰亭黑_GBK"/>
                <w:color w:val="000000"/>
                <w:sz w:val="18"/>
                <w:szCs w:val="18"/>
              </w:rPr>
            </w:pPr>
            <w:r>
              <w:rPr>
                <w:rFonts w:hint="default" w:ascii="Times New Roman" w:hAnsi="Times New Roman" w:eastAsia="方正黑体_GBK" w:cs="Times New Roman"/>
                <w:color w:val="000000"/>
                <w:sz w:val="18"/>
                <w:szCs w:val="18"/>
                <w:lang w:eastAsia="zh-CN"/>
              </w:rPr>
              <w:t>服务业功能区</w:t>
            </w:r>
          </w:p>
        </w:tc>
      </w:tr>
    </w:tbl>
    <w:p>
      <w:pPr>
        <w:pStyle w:val="2"/>
        <w:rPr>
          <w:lang w:val="en-US"/>
        </w:rPr>
      </w:pPr>
    </w:p>
    <w:sectPr>
      <w:headerReference r:id="rId3" w:type="default"/>
      <w:footerReference r:id="rId5" w:type="default"/>
      <w:headerReference r:id="rId4" w:type="even"/>
      <w:footerReference r:id="rId6" w:type="even"/>
      <w:pgSz w:w="16500" w:h="12247" w:orient="landscape"/>
      <w:pgMar w:top="1134" w:right="1134" w:bottom="1134" w:left="1134" w:header="567" w:footer="567" w:gutter="0"/>
      <w:pgNumType w:fmt="decimal" w:start="21"/>
      <w:cols w:space="425" w:num="1"/>
      <w:docGrid w:type="lines" w:linePitch="44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altName w:val="Sazanami Mincho"/>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altName w:val="Arial"/>
    <w:panose1 w:val="02070309020205020404"/>
    <w:charset w:val="01"/>
    <w:family w:val="modern"/>
    <w:pitch w:val="default"/>
    <w:sig w:usb0="E0002AFF" w:usb1="C0007843" w:usb2="00000009" w:usb3="00000000" w:csb0="400001FF" w:csb1="FFFF0000"/>
  </w:font>
  <w:font w:name="Symbol">
    <w:altName w:val="Sazanami Mincho"/>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azanami Mincho">
    <w:panose1 w:val="02000009000000000000"/>
    <w:charset w:val="80"/>
    <w:family w:val="auto"/>
    <w:pitch w:val="default"/>
    <w:sig w:usb0="A00002BF" w:usb1="68C7FCFB" w:usb2="00000010" w:usb3="00000000" w:csb0="8002009F" w:csb1="DFD70000"/>
  </w:font>
  <w:font w:name="Arial">
    <w:panose1 w:val="020B0604020202020204"/>
    <w:charset w:val="00"/>
    <w:family w:val="auto"/>
    <w:pitch w:val="default"/>
    <w:sig w:usb0="E0002AFF" w:usb1="C0007843" w:usb2="00000009" w:usb3="00000000" w:csb0="400001FF" w:csb1="FFFF0000"/>
  </w:font>
  <w:font w:name="方正仿宋简体">
    <w:panose1 w:val="03000509000000000000"/>
    <w:charset w:val="86"/>
    <w:family w:val="auto"/>
    <w:pitch w:val="default"/>
    <w:sig w:usb0="00000001" w:usb1="080E0000" w:usb2="00000000" w:usb3="00000000" w:csb0="00040000" w:csb1="00000000"/>
  </w:font>
  <w:font w:name="Calibri Light">
    <w:panose1 w:val="020F0302020204030204"/>
    <w:charset w:val="00"/>
    <w:family w:val="swiss"/>
    <w:pitch w:val="default"/>
    <w:sig w:usb0="A00002EF" w:usb1="4000207B" w:usb2="00000000" w:usb3="00000000" w:csb0="2000019F" w:csb1="00000000"/>
  </w:font>
  <w:font w:name="方正兰亭粗黑_GBK">
    <w:altName w:val="宋体"/>
    <w:panose1 w:val="02000000000000000000"/>
    <w:charset w:val="86"/>
    <w:family w:val="auto"/>
    <w:pitch w:val="default"/>
    <w:sig w:usb0="00000000" w:usb1="00000000" w:usb2="00000010" w:usb3="00000000" w:csb0="00040000" w:csb1="00000000"/>
  </w:font>
  <w:font w:name="方正兰亭粗黑简体">
    <w:panose1 w:val="02000000000000000000"/>
    <w:charset w:val="86"/>
    <w:family w:val="auto"/>
    <w:pitch w:val="default"/>
    <w:sig w:usb0="00000001" w:usb1="08000000" w:usb2="00000000" w:usb3="00000000" w:csb0="00040000" w:csb1="00000000"/>
  </w:font>
  <w:font w:name="方正兰亭中黑_GBK">
    <w:panose1 w:val="02000000000000000000"/>
    <w:charset w:val="86"/>
    <w:family w:val="auto"/>
    <w:pitch w:val="default"/>
    <w:sig w:usb0="800002BF" w:usb1="38CF7CFA" w:usb2="00082016" w:usb3="00000000" w:csb0="00040000" w:csb1="00000000"/>
  </w:font>
  <w:font w:name="方正兰亭黑_GBK">
    <w:panose1 w:val="02000000000000000000"/>
    <w:charset w:val="86"/>
    <w:family w:val="auto"/>
    <w:pitch w:val="default"/>
    <w:sig w:usb0="00000001" w:usb1="08000000" w:usb2="00000000" w:usb3="00000000" w:csb0="00040000" w:csb1="00000000"/>
  </w:font>
  <w:font w:name="方正黑体_GBK">
    <w:altName w:val="微软雅黑"/>
    <w:panose1 w:val="03000509000000000000"/>
    <w:charset w:val="86"/>
    <w:family w:val="auto"/>
    <w:pitch w:val="default"/>
    <w:sig w:usb0="00000000" w:usb1="00000000" w:usb2="00000000" w:usb3="00000000" w:csb0="00040000" w:csb1="00000000"/>
  </w:font>
  <w:font w:name="Times LT Std Semibold">
    <w:panose1 w:val="02020703080505020304"/>
    <w:charset w:val="00"/>
    <w:family w:val="auto"/>
    <w:pitch w:val="default"/>
    <w:sig w:usb0="800000AF" w:usb1="4000204A" w:usb2="00000000" w:usb3="00000000" w:csb0="0000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rFonts w:ascii="方正兰亭黑_GBK" w:eastAsia="方正兰亭黑_GBK"/>
        <w:sz w:val="16"/>
      </w:rPr>
    </w:pPr>
    <w:r>
      <w:rPr>
        <w:sz w:val="16"/>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Fonts w:ascii="Times LT Std Semibold" w:hAnsi="Times LT Std Semibold" w:eastAsia="方正兰亭黑_GBK" w:cs="Times LT Std Semibold"/>
                              <w:sz w:val="14"/>
                              <w:szCs w:val="14"/>
                            </w:rPr>
                            <w:id w:val="133694289"/>
                          </w:sdtPr>
                          <w:sdtEndPr>
                            <w:rPr>
                              <w:rFonts w:hint="eastAsia" w:ascii="方正兰亭黑_GBK" w:hAnsi="方正兰亭黑_GBK" w:eastAsia="方正兰亭黑_GBK" w:cs="方正兰亭黑_GBK"/>
                              <w:sz w:val="16"/>
                              <w:szCs w:val="16"/>
                            </w:rPr>
                          </w:sdtEndPr>
                          <w:sdtContent>
                            <w:p>
                              <w:pPr>
                                <w:pStyle w:val="6"/>
                                <w:jc w:val="center"/>
                                <w:rPr>
                                  <w:rFonts w:hint="eastAsia" w:ascii="方正兰亭黑_GBK" w:hAnsi="方正兰亭黑_GBK" w:eastAsia="方正兰亭黑_GBK" w:cs="方正兰亭黑_GBK"/>
                                  <w:sz w:val="16"/>
                                  <w:szCs w:val="16"/>
                                </w:rPr>
                              </w:pPr>
                              <w:r>
                                <w:rPr>
                                  <w:rFonts w:ascii="Times LT Std Semibold" w:hAnsi="Times LT Std Semibold" w:eastAsia="方正兰亭黑_GBK" w:cs="Times LT Std Semibold"/>
                                  <w:sz w:val="14"/>
                                  <w:szCs w:val="14"/>
                                </w:rPr>
                                <w:fldChar w:fldCharType="begin"/>
                              </w:r>
                              <w:r>
                                <w:rPr>
                                  <w:rFonts w:ascii="Times LT Std Semibold" w:hAnsi="Times LT Std Semibold" w:eastAsia="方正兰亭黑_GBK" w:cs="Times LT Std Semibold"/>
                                  <w:sz w:val="14"/>
                                  <w:szCs w:val="14"/>
                                </w:rPr>
                                <w:instrText xml:space="preserve">PAGE   \* MERGEFORMAT</w:instrText>
                              </w:r>
                              <w:r>
                                <w:rPr>
                                  <w:rFonts w:ascii="Times LT Std Semibold" w:hAnsi="Times LT Std Semibold" w:eastAsia="方正兰亭黑_GBK" w:cs="Times LT Std Semibold"/>
                                  <w:sz w:val="14"/>
                                  <w:szCs w:val="14"/>
                                </w:rPr>
                                <w:fldChar w:fldCharType="separate"/>
                              </w:r>
                              <w:r>
                                <w:rPr>
                                  <w:rFonts w:ascii="Times LT Std Semibold" w:hAnsi="Times LT Std Semibold" w:eastAsia="方正兰亭黑_GBK" w:cs="Times LT Std Semibold"/>
                                  <w:sz w:val="14"/>
                                  <w:szCs w:val="14"/>
                                  <w:lang w:val="zh-CN"/>
                                </w:rPr>
                                <w:t>10</w:t>
                              </w:r>
                              <w:r>
                                <w:rPr>
                                  <w:rFonts w:ascii="Times LT Std Semibold" w:hAnsi="Times LT Std Semibold" w:eastAsia="方正兰亭黑_GBK" w:cs="Times LT Std Semibold"/>
                                  <w:sz w:val="14"/>
                                  <w:szCs w:val="14"/>
                                </w:rP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sdt>
                    <w:sdtPr>
                      <w:rPr>
                        <w:rFonts w:ascii="Times LT Std Semibold" w:hAnsi="Times LT Std Semibold" w:eastAsia="方正兰亭黑_GBK" w:cs="Times LT Std Semibold"/>
                        <w:sz w:val="14"/>
                        <w:szCs w:val="14"/>
                      </w:rPr>
                      <w:id w:val="133694289"/>
                    </w:sdtPr>
                    <w:sdtEndPr>
                      <w:rPr>
                        <w:rFonts w:hint="eastAsia" w:ascii="方正兰亭黑_GBK" w:hAnsi="方正兰亭黑_GBK" w:eastAsia="方正兰亭黑_GBK" w:cs="方正兰亭黑_GBK"/>
                        <w:sz w:val="16"/>
                        <w:szCs w:val="16"/>
                      </w:rPr>
                    </w:sdtEndPr>
                    <w:sdtContent>
                      <w:p>
                        <w:pPr>
                          <w:pStyle w:val="6"/>
                          <w:jc w:val="center"/>
                          <w:rPr>
                            <w:rFonts w:hint="eastAsia" w:ascii="方正兰亭黑_GBK" w:hAnsi="方正兰亭黑_GBK" w:eastAsia="方正兰亭黑_GBK" w:cs="方正兰亭黑_GBK"/>
                            <w:sz w:val="16"/>
                            <w:szCs w:val="16"/>
                          </w:rPr>
                        </w:pPr>
                        <w:r>
                          <w:rPr>
                            <w:rFonts w:ascii="Times LT Std Semibold" w:hAnsi="Times LT Std Semibold" w:eastAsia="方正兰亭黑_GBK" w:cs="Times LT Std Semibold"/>
                            <w:sz w:val="14"/>
                            <w:szCs w:val="14"/>
                          </w:rPr>
                          <w:fldChar w:fldCharType="begin"/>
                        </w:r>
                        <w:r>
                          <w:rPr>
                            <w:rFonts w:ascii="Times LT Std Semibold" w:hAnsi="Times LT Std Semibold" w:eastAsia="方正兰亭黑_GBK" w:cs="Times LT Std Semibold"/>
                            <w:sz w:val="14"/>
                            <w:szCs w:val="14"/>
                          </w:rPr>
                          <w:instrText xml:space="preserve">PAGE   \* MERGEFORMAT</w:instrText>
                        </w:r>
                        <w:r>
                          <w:rPr>
                            <w:rFonts w:ascii="Times LT Std Semibold" w:hAnsi="Times LT Std Semibold" w:eastAsia="方正兰亭黑_GBK" w:cs="Times LT Std Semibold"/>
                            <w:sz w:val="14"/>
                            <w:szCs w:val="14"/>
                          </w:rPr>
                          <w:fldChar w:fldCharType="separate"/>
                        </w:r>
                        <w:r>
                          <w:rPr>
                            <w:rFonts w:ascii="Times LT Std Semibold" w:hAnsi="Times LT Std Semibold" w:eastAsia="方正兰亭黑_GBK" w:cs="Times LT Std Semibold"/>
                            <w:sz w:val="14"/>
                            <w:szCs w:val="14"/>
                            <w:lang w:val="zh-CN"/>
                          </w:rPr>
                          <w:t>10</w:t>
                        </w:r>
                        <w:r>
                          <w:rPr>
                            <w:rFonts w:ascii="Times LT Std Semibold" w:hAnsi="Times LT Std Semibold" w:eastAsia="方正兰亭黑_GBK" w:cs="Times LT Std Semibold"/>
                            <w:sz w:val="14"/>
                            <w:szCs w:val="14"/>
                          </w:rPr>
                          <w:fldChar w:fldCharType="end"/>
                        </w:r>
                      </w:p>
                    </w:sdtContent>
                  </w:sdt>
                  <w:p>
                    <w:pPr>
                      <w:pStyle w:val="2"/>
                    </w:pPr>
                  </w:p>
                </w:txbxContent>
              </v:textbox>
            </v:shape>
          </w:pict>
        </mc:Fallback>
      </mc:AlternateContent>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4214976"/>
    </w:sdtPr>
    <w:sdtEndPr>
      <w:rPr>
        <w:rFonts w:hint="eastAsia" w:ascii="方正兰亭黑_GBK" w:eastAsia="方正兰亭黑_GBK"/>
        <w:sz w:val="16"/>
      </w:rPr>
    </w:sdtEndPr>
    <w:sdtContent>
      <w:p>
        <w:pPr>
          <w:pStyle w:val="6"/>
          <w:jc w:val="center"/>
          <w:rPr>
            <w:rFonts w:ascii="方正兰亭黑_GBK" w:eastAsia="方正兰亭黑_GBK"/>
            <w:sz w:val="16"/>
            <w:szCs w:val="33"/>
          </w:rPr>
        </w:pPr>
        <w:r>
          <w:rPr>
            <w:rFonts w:hint="eastAsia" w:ascii="方正兰亭黑_GBK" w:eastAsia="方正兰亭黑_GBK"/>
            <w:sz w:val="16"/>
          </w:rPr>
          <w:fldChar w:fldCharType="begin"/>
        </w:r>
        <w:r>
          <w:rPr>
            <w:rFonts w:hint="eastAsia" w:ascii="方正兰亭黑_GBK" w:eastAsia="方正兰亭黑_GBK"/>
            <w:sz w:val="16"/>
          </w:rPr>
          <w:instrText xml:space="preserve">PAGE   \* MERGEFORMAT</w:instrText>
        </w:r>
        <w:r>
          <w:rPr>
            <w:rFonts w:hint="eastAsia" w:ascii="方正兰亭黑_GBK" w:eastAsia="方正兰亭黑_GBK"/>
            <w:sz w:val="16"/>
          </w:rPr>
          <w:fldChar w:fldCharType="separate"/>
        </w:r>
        <w:r>
          <w:rPr>
            <w:rFonts w:ascii="方正兰亭黑_GBK" w:eastAsia="方正兰亭黑_GBK"/>
            <w:sz w:val="16"/>
            <w:lang w:val="zh-CN"/>
          </w:rPr>
          <w:t>4</w:t>
        </w:r>
        <w:r>
          <w:rPr>
            <w:rFonts w:hint="eastAsia" w:ascii="方正兰亭黑_GBK" w:eastAsia="方正兰亭黑_GBK"/>
            <w:sz w:val="16"/>
          </w:rPr>
          <w:fldChar w:fldCharType="end"/>
        </w:r>
      </w:p>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rPr>
        <w:rFonts w:hint="eastAsia" w:ascii="方正兰亭黑_GBK" w:eastAsia="方正兰亭黑_GBK"/>
        <w:color w:val="2F5597" w:themeColor="accent5" w:themeShade="BF"/>
        <w:sz w:val="10"/>
        <w:szCs w:val="13"/>
        <w:lang w:eastAsia="zh-CN"/>
      </w:rPr>
    </w:pPr>
    <w:r>
      <w:rPr>
        <w:rFonts w:hint="eastAsia" w:cs="宋体" w:asciiTheme="minorEastAsia" w:hAnsiTheme="minorEastAsia" w:eastAsiaTheme="minorEastAsia"/>
        <w:color w:val="2F5597" w:themeColor="accent5" w:themeShade="BF"/>
        <w:szCs w:val="21"/>
      </w:rPr>
      <w:drawing>
        <wp:inline distT="0" distB="0" distL="114300" distR="114300">
          <wp:extent cx="3593465" cy="255905"/>
          <wp:effectExtent l="0" t="0" r="6985" b="10795"/>
          <wp:docPr id="2" name="图片 2" descr="页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页眉-3"/>
                  <pic:cNvPicPr>
                    <a:picLocks noChangeAspect="1"/>
                  </pic:cNvPicPr>
                </pic:nvPicPr>
                <pic:blipFill>
                  <a:blip r:embed="rId1"/>
                  <a:stretch>
                    <a:fillRect/>
                  </a:stretch>
                </pic:blipFill>
                <pic:spPr>
                  <a:xfrm>
                    <a:off x="0" y="0"/>
                    <a:ext cx="3593465" cy="255905"/>
                  </a:xfrm>
                  <a:prstGeom prst="rect">
                    <a:avLst/>
                  </a:prstGeom>
                </pic:spPr>
              </pic:pic>
            </a:graphicData>
          </a:graphic>
        </wp:inline>
      </w:drawing>
    </w:r>
    <w:r>
      <w:rPr>
        <w:rFonts w:hint="eastAsia" w:cs="宋体" w:asciiTheme="minorEastAsia" w:hAnsiTheme="minorEastAsia" w:eastAsiaTheme="minorEastAsia"/>
        <w:color w:val="2F5597" w:themeColor="accent5" w:themeShade="BF"/>
        <w:szCs w:val="21"/>
      </w:rPr>
      <w:t xml:space="preserve">                                                                       </w:t>
    </w:r>
    <w:r>
      <w:rPr>
        <w:rFonts w:hint="eastAsia" w:cs="宋体" w:asciiTheme="minorEastAsia" w:hAnsiTheme="minorEastAsia" w:eastAsiaTheme="minorEastAsia"/>
        <w:color w:val="2F5597" w:themeColor="accent5" w:themeShade="BF"/>
        <w:szCs w:val="21"/>
        <w:lang w:eastAsia="zh-CN"/>
      </w:rPr>
      <w:t>现代</w:t>
    </w:r>
    <w:r>
      <w:rPr>
        <w:rFonts w:hint="eastAsia" w:ascii="方正兰亭黑_GBK" w:hAnsi="方正兰亭黑_GBK" w:eastAsia="方正兰亭黑_GBK" w:cs="方正兰亭黑_GBK"/>
        <w:color w:val="2F5597" w:themeColor="accent5" w:themeShade="BF"/>
        <w:sz w:val="16"/>
        <w:szCs w:val="16"/>
      </w:rPr>
      <w:t>供应链</w:t>
    </w:r>
    <w:r>
      <w:rPr>
        <w:rFonts w:hint="eastAsia" w:ascii="方正兰亭黑_GBK" w:hAnsi="方正兰亭黑_GBK" w:eastAsia="方正兰亭黑_GBK" w:cs="方正兰亭黑_GBK"/>
        <w:color w:val="2F5597" w:themeColor="accent5" w:themeShade="BF"/>
        <w:sz w:val="16"/>
        <w:szCs w:val="16"/>
        <w:lang w:eastAsia="zh-CN"/>
      </w:rPr>
      <w:t>应用场景</w:t>
    </w:r>
    <w:r>
      <w:rPr>
        <w:rFonts w:hint="eastAsia" w:ascii="方正兰亭黑_GBK" w:hAnsi="方正兰亭黑_GBK" w:eastAsia="方正兰亭黑_GBK" w:cs="方正兰亭黑_GBK"/>
        <w:color w:val="2F5597" w:themeColor="accent5" w:themeShade="BF"/>
        <w:sz w:val="16"/>
        <w:szCs w:val="16"/>
      </w:rPr>
      <w:t>需求</w:t>
    </w:r>
    <w:r>
      <w:rPr>
        <w:rFonts w:hint="eastAsia" w:ascii="方正兰亭黑_GBK" w:hAnsi="方正兰亭黑_GBK" w:eastAsia="方正兰亭黑_GBK" w:cs="方正兰亭黑_GBK"/>
        <w:color w:val="2F5597" w:themeColor="accent5" w:themeShade="BF"/>
        <w:sz w:val="16"/>
        <w:szCs w:val="16"/>
        <w:lang w:eastAsia="zh-CN"/>
      </w:rPr>
      <w:t>清单</w:t>
    </w: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left"/>
    </w:pPr>
    <w:r>
      <w:rPr>
        <w:rFonts w:hint="eastAsia"/>
      </w:rPr>
      <w:drawing>
        <wp:inline distT="0" distB="0" distL="0" distR="0">
          <wp:extent cx="1979930" cy="200025"/>
          <wp:effectExtent l="0" t="0" r="1270" b="9525"/>
          <wp:docPr id="3" name="图片 3" descr="C:\Users\Administrator\Desktop\成都城市机会清单2\眉头内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成都城市机会清单2\眉头内容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980000" cy="200330"/>
                  </a:xfrm>
                  <a:prstGeom prst="rect">
                    <a:avLst/>
                  </a:prstGeom>
                  <a:noFill/>
                  <a:ln>
                    <a:noFill/>
                  </a:ln>
                </pic:spPr>
              </pic:pic>
            </a:graphicData>
          </a:graphic>
        </wp:inline>
      </w:drawing>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482F8F"/>
    <w:multiLevelType w:val="singleLevel"/>
    <w:tmpl w:val="82482F8F"/>
    <w:lvl w:ilvl="0" w:tentative="0">
      <w:start w:val="2"/>
      <w:numFmt w:val="chineseCounting"/>
      <w:suff w:val="space"/>
      <w:lvlText w:val="第%1篇"/>
      <w:lvlJc w:val="left"/>
      <w:rPr>
        <w:rFonts w:hint="eastAsia"/>
      </w:rPr>
    </w:lvl>
  </w:abstractNum>
  <w:abstractNum w:abstractNumId="1">
    <w:nsid w:val="669A8AF1"/>
    <w:multiLevelType w:val="singleLevel"/>
    <w:tmpl w:val="669A8AF1"/>
    <w:lvl w:ilvl="0" w:tentative="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embedSystemFonts/>
  <w:bordersDoNotSurroundHeader w:val="1"/>
  <w:bordersDoNotSurroundFooter w:val="1"/>
  <w:documentProtection w:enforcement="0"/>
  <w:defaultTabStop w:val="420"/>
  <w:drawingGridHorizontalSpacing w:val="165"/>
  <w:drawingGridVerticalSpacing w:val="449"/>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D02829"/>
    <w:rsid w:val="00132F2A"/>
    <w:rsid w:val="001A4A38"/>
    <w:rsid w:val="001B2A9E"/>
    <w:rsid w:val="001D3BF9"/>
    <w:rsid w:val="00200D34"/>
    <w:rsid w:val="00290A08"/>
    <w:rsid w:val="002A2099"/>
    <w:rsid w:val="002E171D"/>
    <w:rsid w:val="00347712"/>
    <w:rsid w:val="00372A24"/>
    <w:rsid w:val="003739DC"/>
    <w:rsid w:val="00385015"/>
    <w:rsid w:val="003A69BD"/>
    <w:rsid w:val="003B32D3"/>
    <w:rsid w:val="003C212B"/>
    <w:rsid w:val="003C475F"/>
    <w:rsid w:val="004063E0"/>
    <w:rsid w:val="0044222A"/>
    <w:rsid w:val="0047786A"/>
    <w:rsid w:val="00487B59"/>
    <w:rsid w:val="00527D2A"/>
    <w:rsid w:val="00582698"/>
    <w:rsid w:val="005D1D27"/>
    <w:rsid w:val="00627566"/>
    <w:rsid w:val="006F28DB"/>
    <w:rsid w:val="00760894"/>
    <w:rsid w:val="00774600"/>
    <w:rsid w:val="00793DCE"/>
    <w:rsid w:val="007D1F03"/>
    <w:rsid w:val="008834C4"/>
    <w:rsid w:val="0093393C"/>
    <w:rsid w:val="0095601F"/>
    <w:rsid w:val="009E0B60"/>
    <w:rsid w:val="00A527DF"/>
    <w:rsid w:val="00A75B9E"/>
    <w:rsid w:val="00AC2060"/>
    <w:rsid w:val="00BB2F8C"/>
    <w:rsid w:val="00BC23B0"/>
    <w:rsid w:val="00BF3BED"/>
    <w:rsid w:val="00BF7DDD"/>
    <w:rsid w:val="00C1017B"/>
    <w:rsid w:val="00C2673B"/>
    <w:rsid w:val="00C84B33"/>
    <w:rsid w:val="00CD441D"/>
    <w:rsid w:val="00D8679F"/>
    <w:rsid w:val="00DF16E4"/>
    <w:rsid w:val="00E1035F"/>
    <w:rsid w:val="00EB5786"/>
    <w:rsid w:val="00F72154"/>
    <w:rsid w:val="00FE1984"/>
    <w:rsid w:val="00FE3276"/>
    <w:rsid w:val="0140135E"/>
    <w:rsid w:val="03556206"/>
    <w:rsid w:val="05B60A3D"/>
    <w:rsid w:val="0633430C"/>
    <w:rsid w:val="06D02829"/>
    <w:rsid w:val="07081EA3"/>
    <w:rsid w:val="0CD01D18"/>
    <w:rsid w:val="10607D5E"/>
    <w:rsid w:val="10F45906"/>
    <w:rsid w:val="117450BC"/>
    <w:rsid w:val="120A1C83"/>
    <w:rsid w:val="129C1825"/>
    <w:rsid w:val="1A5C7169"/>
    <w:rsid w:val="1BC1350D"/>
    <w:rsid w:val="1F3C2AB0"/>
    <w:rsid w:val="209F4332"/>
    <w:rsid w:val="21E23504"/>
    <w:rsid w:val="229C3DD9"/>
    <w:rsid w:val="23202035"/>
    <w:rsid w:val="24ED2F53"/>
    <w:rsid w:val="26450766"/>
    <w:rsid w:val="2AE938DB"/>
    <w:rsid w:val="2E903837"/>
    <w:rsid w:val="31021174"/>
    <w:rsid w:val="3118459C"/>
    <w:rsid w:val="335426D1"/>
    <w:rsid w:val="34641C6A"/>
    <w:rsid w:val="348A139E"/>
    <w:rsid w:val="361A1388"/>
    <w:rsid w:val="37C41D07"/>
    <w:rsid w:val="390353A6"/>
    <w:rsid w:val="39931849"/>
    <w:rsid w:val="3DFC66AB"/>
    <w:rsid w:val="3E0C5AEC"/>
    <w:rsid w:val="3E184A7E"/>
    <w:rsid w:val="3E411258"/>
    <w:rsid w:val="3F841922"/>
    <w:rsid w:val="42481BD8"/>
    <w:rsid w:val="437F65D9"/>
    <w:rsid w:val="43C421DA"/>
    <w:rsid w:val="44A36870"/>
    <w:rsid w:val="44C1668D"/>
    <w:rsid w:val="479E6756"/>
    <w:rsid w:val="483A0FFF"/>
    <w:rsid w:val="4A1C5738"/>
    <w:rsid w:val="4D556A30"/>
    <w:rsid w:val="4D994E0C"/>
    <w:rsid w:val="4E83036B"/>
    <w:rsid w:val="4FA912F0"/>
    <w:rsid w:val="53D73AE5"/>
    <w:rsid w:val="54763E74"/>
    <w:rsid w:val="552F4253"/>
    <w:rsid w:val="553E2530"/>
    <w:rsid w:val="55C72863"/>
    <w:rsid w:val="57940107"/>
    <w:rsid w:val="5BEF152C"/>
    <w:rsid w:val="5C3E43DE"/>
    <w:rsid w:val="5C4768ED"/>
    <w:rsid w:val="5D8B1F33"/>
    <w:rsid w:val="5DB36CDC"/>
    <w:rsid w:val="61E664C3"/>
    <w:rsid w:val="63452A5D"/>
    <w:rsid w:val="67443118"/>
    <w:rsid w:val="67B73FE7"/>
    <w:rsid w:val="6A783EF1"/>
    <w:rsid w:val="6AFF1738"/>
    <w:rsid w:val="6CE949B4"/>
    <w:rsid w:val="6E67007B"/>
    <w:rsid w:val="6EDD2BF3"/>
    <w:rsid w:val="716B2E6D"/>
    <w:rsid w:val="73A80267"/>
    <w:rsid w:val="75167303"/>
    <w:rsid w:val="75BA095A"/>
    <w:rsid w:val="76583B07"/>
    <w:rsid w:val="765E6FBE"/>
    <w:rsid w:val="7A360D7B"/>
    <w:rsid w:val="7BCF6FE8"/>
    <w:rsid w:val="7D2609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方正仿宋简体" w:cs="Times New Roman"/>
      <w:sz w:val="33"/>
      <w:szCs w:val="33"/>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99"/>
    <w:rPr>
      <w:rFonts w:ascii="宋体" w:hAnsi="宋体" w:cs="宋体"/>
      <w:sz w:val="28"/>
      <w:szCs w:val="28"/>
      <w:lang w:val="zh-CN"/>
    </w:rPr>
  </w:style>
  <w:style w:type="paragraph" w:styleId="3">
    <w:name w:val="Document Map"/>
    <w:basedOn w:val="1"/>
    <w:next w:val="1"/>
    <w:semiHidden/>
    <w:qFormat/>
    <w:uiPriority w:val="99"/>
    <w:rPr>
      <w:rFonts w:ascii="宋体" w:cs="宋体"/>
      <w:sz w:val="18"/>
      <w:szCs w:val="18"/>
    </w:rPr>
  </w:style>
  <w:style w:type="paragraph" w:styleId="4">
    <w:name w:val="annotation text"/>
    <w:basedOn w:val="1"/>
    <w:qFormat/>
    <w:uiPriority w:val="0"/>
  </w:style>
  <w:style w:type="paragraph" w:styleId="5">
    <w:name w:val="Balloon Text"/>
    <w:basedOn w:val="1"/>
    <w:link w:val="14"/>
    <w:qFormat/>
    <w:uiPriority w:val="0"/>
    <w:rPr>
      <w:sz w:val="18"/>
      <w:szCs w:val="18"/>
    </w:rPr>
  </w:style>
  <w:style w:type="paragraph" w:styleId="6">
    <w:name w:val="footer"/>
    <w:basedOn w:val="1"/>
    <w:link w:val="16"/>
    <w:qFormat/>
    <w:uiPriority w:val="99"/>
    <w:pPr>
      <w:tabs>
        <w:tab w:val="center" w:pos="4153"/>
        <w:tab w:val="right" w:pos="8306"/>
      </w:tabs>
      <w:snapToGrid w:val="0"/>
    </w:pPr>
    <w:rPr>
      <w:sz w:val="18"/>
      <w:szCs w:val="18"/>
    </w:rPr>
  </w:style>
  <w:style w:type="paragraph" w:styleId="7">
    <w:name w:val="header"/>
    <w:basedOn w:val="1"/>
    <w:link w:val="15"/>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100" w:beforeAutospacing="1" w:after="100" w:afterAutospacing="1"/>
    </w:pPr>
    <w:rPr>
      <w:sz w:val="24"/>
    </w:rPr>
  </w:style>
  <w:style w:type="paragraph" w:styleId="9">
    <w:name w:val="Title"/>
    <w:basedOn w:val="1"/>
    <w:next w:val="1"/>
    <w:link w:val="19"/>
    <w:qFormat/>
    <w:uiPriority w:val="0"/>
    <w:pPr>
      <w:spacing w:before="240" w:after="60"/>
      <w:jc w:val="center"/>
      <w:outlineLvl w:val="0"/>
    </w:pPr>
    <w:rPr>
      <w:rFonts w:eastAsia="宋体" w:asciiTheme="majorHAnsi" w:hAnsiTheme="majorHAnsi" w:cstheme="majorBidi"/>
      <w:b/>
      <w:bCs/>
      <w:sz w:val="32"/>
      <w:szCs w:val="32"/>
    </w:rPr>
  </w:style>
  <w:style w:type="table" w:styleId="11">
    <w:name w:val="Table Grid"/>
    <w:basedOn w:val="1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annotation reference"/>
    <w:basedOn w:val="12"/>
    <w:qFormat/>
    <w:uiPriority w:val="0"/>
    <w:rPr>
      <w:sz w:val="21"/>
      <w:szCs w:val="21"/>
    </w:rPr>
  </w:style>
  <w:style w:type="character" w:customStyle="1" w:styleId="14">
    <w:name w:val="批注框文本 Char"/>
    <w:basedOn w:val="12"/>
    <w:link w:val="5"/>
    <w:qFormat/>
    <w:uiPriority w:val="0"/>
    <w:rPr>
      <w:rFonts w:eastAsia="方正仿宋简体"/>
      <w:sz w:val="18"/>
      <w:szCs w:val="18"/>
    </w:rPr>
  </w:style>
  <w:style w:type="character" w:customStyle="1" w:styleId="15">
    <w:name w:val="页眉 Char"/>
    <w:basedOn w:val="12"/>
    <w:link w:val="7"/>
    <w:qFormat/>
    <w:uiPriority w:val="99"/>
    <w:rPr>
      <w:rFonts w:eastAsia="方正仿宋简体"/>
      <w:sz w:val="18"/>
      <w:szCs w:val="18"/>
    </w:rPr>
  </w:style>
  <w:style w:type="character" w:customStyle="1" w:styleId="16">
    <w:name w:val="页脚 Char"/>
    <w:basedOn w:val="12"/>
    <w:link w:val="6"/>
    <w:qFormat/>
    <w:uiPriority w:val="99"/>
    <w:rPr>
      <w:rFonts w:eastAsia="方正仿宋简体"/>
      <w:sz w:val="18"/>
      <w:szCs w:val="18"/>
    </w:rPr>
  </w:style>
  <w:style w:type="paragraph" w:customStyle="1" w:styleId="17">
    <w:name w:val="BT-1"/>
    <w:basedOn w:val="1"/>
    <w:link w:val="18"/>
    <w:qFormat/>
    <w:uiPriority w:val="0"/>
    <w:pPr>
      <w:spacing w:after="224" w:afterLines="50" w:line="500" w:lineRule="exact"/>
      <w:jc w:val="center"/>
    </w:pPr>
    <w:rPr>
      <w:rFonts w:ascii="方正兰亭粗黑_GBK" w:hAnsi="宋体" w:eastAsia="方正兰亭粗黑_GBK" w:cs="宋体"/>
      <w:color w:val="2F5597" w:themeColor="accent5" w:themeShade="BF"/>
      <w:sz w:val="40"/>
      <w:szCs w:val="36"/>
    </w:rPr>
  </w:style>
  <w:style w:type="character" w:customStyle="1" w:styleId="18">
    <w:name w:val="BT-1 Char"/>
    <w:basedOn w:val="12"/>
    <w:link w:val="17"/>
    <w:qFormat/>
    <w:uiPriority w:val="0"/>
    <w:rPr>
      <w:rFonts w:ascii="方正兰亭粗黑_GBK" w:hAnsi="宋体" w:eastAsia="方正兰亭粗黑_GBK" w:cs="宋体"/>
      <w:color w:val="2F5597" w:themeColor="accent5" w:themeShade="BF"/>
      <w:sz w:val="40"/>
      <w:szCs w:val="36"/>
    </w:rPr>
  </w:style>
  <w:style w:type="character" w:customStyle="1" w:styleId="19">
    <w:name w:val="标题 Char"/>
    <w:basedOn w:val="12"/>
    <w:link w:val="9"/>
    <w:qFormat/>
    <w:uiPriority w:val="0"/>
    <w:rPr>
      <w:rFonts w:asciiTheme="majorHAnsi" w:hAnsiTheme="majorHAnsi" w:cstheme="majorBidi"/>
      <w:b/>
      <w:bCs/>
      <w:sz w:val="32"/>
      <w:szCs w:val="32"/>
    </w:rPr>
  </w:style>
  <w:style w:type="paragraph" w:styleId="20">
    <w:name w:val="List Paragraph"/>
    <w:basedOn w:val="1"/>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4EEE0F-99C1-4CAE-A4AD-716593CB2F33}">
  <ds:schemaRefs/>
</ds:datastoreItem>
</file>

<file path=docProps/app.xml><?xml version="1.0" encoding="utf-8"?>
<Properties xmlns="http://schemas.openxmlformats.org/officeDocument/2006/extended-properties" xmlns:vt="http://schemas.openxmlformats.org/officeDocument/2006/docPropsVTypes">
  <Template>Normal</Template>
  <Company>Micorosoft</Company>
  <Pages>10</Pages>
  <Words>7355</Words>
  <Characters>7870</Characters>
  <Lines>63</Lines>
  <Paragraphs>17</Paragraphs>
  <TotalTime>41</TotalTime>
  <ScaleCrop>false</ScaleCrop>
  <LinksUpToDate>false</LinksUpToDate>
  <CharactersWithSpaces>7876</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2019-10-12T06:36:00Z</dcterms:created>
  <dc:creator>马克图布</dc:creator>
  <cp:lastModifiedBy>【義】</cp:lastModifiedBy>
  <cp:lastPrinted>2019-10-23T09:58:00Z</cp:lastPrinted>
  <dcterms:modified xsi:type="dcterms:W3CDTF">2019-10-24T10:04:13Z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