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4A" w:rsidRDefault="004E6E4A">
      <w:pPr>
        <w:pStyle w:val="BT-1"/>
        <w:jc w:val="both"/>
      </w:pPr>
    </w:p>
    <w:p w:rsidR="004E6E4A" w:rsidRDefault="004E6E4A">
      <w:pPr>
        <w:pStyle w:val="BT-1"/>
        <w:jc w:val="both"/>
      </w:pPr>
    </w:p>
    <w:p w:rsidR="004E6E4A" w:rsidRDefault="004E6E4A">
      <w:pPr>
        <w:pStyle w:val="BT-1"/>
        <w:jc w:val="both"/>
      </w:pPr>
    </w:p>
    <w:p w:rsidR="004E6E4A" w:rsidRDefault="00BF0735">
      <w:pPr>
        <w:pStyle w:val="aa"/>
        <w:rPr>
          <w:rFonts w:ascii="方正兰亭粗黑简体" w:eastAsia="方正兰亭粗黑简体" w:hAnsi="方正兰亭粗黑简体" w:cs="方正兰亭粗黑简体"/>
          <w:b w:val="0"/>
          <w:color w:val="2F5496" w:themeColor="accent5" w:themeShade="BF"/>
          <w:sz w:val="72"/>
          <w:szCs w:val="72"/>
        </w:rPr>
      </w:pP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现代供应</w:t>
      </w:r>
      <w:proofErr w:type="gramStart"/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链创新</w:t>
      </w:r>
      <w:proofErr w:type="gramEnd"/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应用场景</w:t>
      </w: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需求信息</w:t>
      </w:r>
    </w:p>
    <w:p w:rsidR="00542FF0" w:rsidRPr="00542FF0" w:rsidRDefault="00542FF0" w:rsidP="00542FF0">
      <w:pPr>
        <w:pStyle w:val="aa"/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</w:pPr>
      <w:r w:rsidRPr="00542FF0"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政府需求包含3个细分场景、6条需求信息，其中基础设</w:t>
      </w:r>
      <w:bookmarkStart w:id="0" w:name="_GoBack"/>
      <w:bookmarkEnd w:id="0"/>
      <w:r w:rsidRPr="00542FF0"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施建设4条、解决方案1条、规划编制1条</w:t>
      </w:r>
    </w:p>
    <w:p w:rsidR="004E6E4A" w:rsidRDefault="00542FF0" w:rsidP="00542FF0">
      <w:pPr>
        <w:pStyle w:val="aa"/>
        <w:rPr>
          <w:rFonts w:asciiTheme="majorEastAsia" w:eastAsiaTheme="majorEastAsia" w:hAnsiTheme="majorEastAsia" w:cstheme="majorEastAsia"/>
          <w:b w:val="0"/>
          <w:bCs w:val="0"/>
          <w:kern w:val="2"/>
          <w:sz w:val="24"/>
          <w:szCs w:val="24"/>
        </w:rPr>
      </w:pPr>
      <w:r w:rsidRPr="00542FF0"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企业需求包含1个细分场景、3条需求信息，其中基础设施建设2条、活动1条</w:t>
      </w:r>
    </w:p>
    <w:p w:rsidR="004E6E4A" w:rsidRDefault="004E6E4A"/>
    <w:p w:rsidR="004E6E4A" w:rsidRDefault="004E6E4A">
      <w:pPr>
        <w:pStyle w:val="a0"/>
      </w:pPr>
    </w:p>
    <w:p w:rsidR="004E6E4A" w:rsidRDefault="004E6E4A">
      <w:pPr>
        <w:pStyle w:val="a0"/>
      </w:pPr>
    </w:p>
    <w:p w:rsidR="004E6E4A" w:rsidRDefault="004E6E4A"/>
    <w:p w:rsidR="004E6E4A" w:rsidRDefault="004E6E4A">
      <w:pPr>
        <w:pStyle w:val="a0"/>
      </w:pPr>
    </w:p>
    <w:p w:rsidR="004E6E4A" w:rsidRDefault="004E6E4A"/>
    <w:p w:rsidR="004E6E4A" w:rsidRDefault="004E6E4A">
      <w:pPr>
        <w:pStyle w:val="a0"/>
      </w:pPr>
    </w:p>
    <w:p w:rsidR="004E6E4A" w:rsidRDefault="004E6E4A"/>
    <w:p w:rsidR="004E6E4A" w:rsidRDefault="004E6E4A">
      <w:pPr>
        <w:pStyle w:val="a0"/>
      </w:pPr>
    </w:p>
    <w:p w:rsidR="004E6E4A" w:rsidRDefault="004E6E4A"/>
    <w:p w:rsidR="004E6E4A" w:rsidRDefault="00BF0735">
      <w:pPr>
        <w:pStyle w:val="BT-1"/>
        <w:rPr>
          <w:rFonts w:ascii="方正兰亭粗黑简体" w:eastAsia="方正兰亭粗黑简体" w:hAnsi="方正兰亭粗黑简体" w:cs="方正兰亭粗黑简体"/>
        </w:rPr>
      </w:pPr>
      <w:r>
        <w:rPr>
          <w:rFonts w:ascii="方正兰亭粗黑简体" w:eastAsia="方正兰亭粗黑简体" w:hAnsi="方正兰亭粗黑简体" w:cs="方正兰亭粗黑简体" w:hint="eastAsia"/>
        </w:rPr>
        <w:lastRenderedPageBreak/>
        <w:t>政府需求</w:t>
      </w:r>
    </w:p>
    <w:tbl>
      <w:tblPr>
        <w:tblStyle w:val="ab"/>
        <w:tblW w:w="1424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1"/>
        <w:gridCol w:w="1141"/>
        <w:gridCol w:w="1701"/>
        <w:gridCol w:w="5102"/>
        <w:gridCol w:w="1661"/>
        <w:gridCol w:w="810"/>
        <w:gridCol w:w="1346"/>
        <w:gridCol w:w="1077"/>
      </w:tblGrid>
      <w:tr w:rsidR="004E6E4A">
        <w:trPr>
          <w:trHeight w:val="90"/>
          <w:tblHeader/>
        </w:trPr>
        <w:tc>
          <w:tcPr>
            <w:tcW w:w="1411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细分场景</w:t>
            </w:r>
          </w:p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（所在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地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）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类别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名称</w:t>
            </w:r>
          </w:p>
        </w:tc>
        <w:tc>
          <w:tcPr>
            <w:tcW w:w="5102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内容</w:t>
            </w:r>
          </w:p>
        </w:tc>
        <w:tc>
          <w:tcPr>
            <w:tcW w:w="1661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联系单位</w:t>
            </w:r>
          </w:p>
        </w:tc>
        <w:tc>
          <w:tcPr>
            <w:tcW w:w="810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联系人</w:t>
            </w:r>
          </w:p>
        </w:tc>
        <w:tc>
          <w:tcPr>
            <w:tcW w:w="1346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联系方式</w:t>
            </w:r>
          </w:p>
        </w:tc>
        <w:tc>
          <w:tcPr>
            <w:tcW w:w="1077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信息</w:t>
            </w:r>
          </w:p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有效期</w:t>
            </w:r>
          </w:p>
        </w:tc>
      </w:tr>
      <w:tr w:rsidR="004E6E4A">
        <w:trPr>
          <w:trHeight w:val="1663"/>
        </w:trPr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中国西部汽车物流多式联运示范工程</w:t>
            </w:r>
          </w:p>
          <w:p w:rsidR="004E6E4A" w:rsidRDefault="00BF0735">
            <w:pPr>
              <w:pStyle w:val="a0"/>
              <w:spacing w:line="280" w:lineRule="exact"/>
              <w:jc w:val="center"/>
              <w:rPr>
                <w:rFonts w:eastAsia="方正兰亭黑_GBK"/>
              </w:rPr>
            </w:pPr>
            <w:r>
              <w:rPr>
                <w:rFonts w:ascii="方正兰亭黑_GBK" w:eastAsia="方正兰亭黑_GBK" w:hAnsi="方正兰亭黑_GBK" w:cs="方正兰亭黑_GBK" w:hint="eastAsia"/>
              </w:rPr>
              <w:t>（成都龙泉</w:t>
            </w:r>
            <w:proofErr w:type="gramStart"/>
            <w:r>
              <w:rPr>
                <w:rFonts w:ascii="方正兰亭黑_GBK" w:eastAsia="方正兰亭黑_GBK" w:hAnsi="方正兰亭黑_GBK" w:cs="方正兰亭黑_GBK" w:hint="eastAsia"/>
              </w:rPr>
              <w:t>驿</w:t>
            </w:r>
            <w:proofErr w:type="gramEnd"/>
            <w:r>
              <w:rPr>
                <w:rFonts w:ascii="方正兰亭黑_GBK" w:eastAsia="方正兰亭黑_GBK" w:hAnsi="方正兰亭黑_GBK" w:cs="方正兰亭黑_GBK" w:hint="eastAsia"/>
              </w:rPr>
              <w:t>）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</w:t>
            </w:r>
          </w:p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建设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龙泉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驿区汽车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物流多式联运中心一期开发建设</w:t>
            </w:r>
          </w:p>
        </w:tc>
        <w:tc>
          <w:tcPr>
            <w:tcW w:w="5102" w:type="dxa"/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项目地点：龙泉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驿区柏合镇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爱国村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2019-2021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具体需求：招引建设机构与主机厂等组成投资联合体，将铁路专用线与多联中心作为整体项目统一进行开发建设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成都经济技术开发区口岸和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物流局</w:t>
            </w:r>
            <w:proofErr w:type="gramEnd"/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028-84857033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4E6E4A">
        <w:trPr>
          <w:trHeight w:val="1513"/>
        </w:trPr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E6E4A" w:rsidRDefault="004E6E4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6E4A" w:rsidRDefault="004E6E4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龙泉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驿区汽车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物流多式联运中心一期运营项目</w:t>
            </w:r>
          </w:p>
        </w:tc>
        <w:tc>
          <w:tcPr>
            <w:tcW w:w="5102" w:type="dxa"/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项目地点：龙泉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驿区柏合镇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爱国村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2019-2021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具体需求：招引运营主体，按照“前店后仓”、“线上线下一体化”、“金融服务一体化”的模式进行项目运营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成都经济技术开发区口岸和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物流局</w:t>
            </w:r>
            <w:proofErr w:type="gramEnd"/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028-84857033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4E6E4A">
        <w:trPr>
          <w:trHeight w:val="454"/>
        </w:trPr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proofErr w:type="gramStart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新民场供应</w:t>
            </w:r>
            <w:proofErr w:type="gramEnd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链</w:t>
            </w: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+</w:t>
            </w: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仓储物流</w:t>
            </w:r>
          </w:p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基地</w:t>
            </w:r>
          </w:p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</w:t>
            </w:r>
            <w:proofErr w:type="gramStart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郫</w:t>
            </w:r>
            <w:proofErr w:type="gramEnd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都）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规划编制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郫都区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新民场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街道永盛村仓储物流</w:t>
            </w:r>
          </w:p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基地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通过招投标引入规划设计机构，围绕永盛村及周边街道农业生产实际情况，开展仓储物流、冷链运输物流基地规划编制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成都市郫都区蜀都乡村振兴投资</w:t>
            </w:r>
          </w:p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高乾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13666271191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4E6E4A">
        <w:trPr>
          <w:trHeight w:val="1722"/>
        </w:trPr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4E6E4A" w:rsidRDefault="004E6E4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</w:t>
            </w:r>
          </w:p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建设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郫都区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新民场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街道永盛村仓储物流</w:t>
            </w:r>
          </w:p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基地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项目地点：郫都区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新民场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街道永盛村，通过农村集体建设用地入市方式进行原址开发利用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2019-2020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具体需求：通过引入社会企业建设仓储物流基地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成都市郫都区蜀都乡村振兴投资</w:t>
            </w:r>
          </w:p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高乾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13666271191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4E6E4A">
        <w:trPr>
          <w:trHeight w:val="1694"/>
        </w:trPr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4E6E4A" w:rsidRDefault="004E6E4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6E4A" w:rsidRDefault="004E6E4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郫都区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新民场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街道永盛村仓储物流</w:t>
            </w:r>
          </w:p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基地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建设内容：郫都区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新民场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街道永盛村仓储物流基地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项目总投资：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融资需求额度：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具体需求：引入银行、投资机构、企业等投资方参与项目融资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成都市郫都区蜀都乡村振兴投资</w:t>
            </w:r>
          </w:p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陶银</w:t>
            </w:r>
            <w:proofErr w:type="gramEnd"/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15008477292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4E6E4A">
        <w:trPr>
          <w:trHeight w:val="1822"/>
        </w:trPr>
        <w:tc>
          <w:tcPr>
            <w:tcW w:w="1411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lastRenderedPageBreak/>
              <w:t>国际公铁联运中心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解决方案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以铁路为主体的国际公铁联运中心建设及运营方案</w:t>
            </w:r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招投标的形式引入第三方科研院所，结合成都市南向通道建设、枢纽铁路规划、城市发展方向等，以公兴站和成都高新综合保税区双流园区为依托，以成昆外绕线、川藏铁路和货运东环线为纽带，研究国际公铁联运中心的建设方案、运营模式，提出成都市南向发展的公铁联运解决方案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成都交投国际</w:t>
            </w:r>
          </w:p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供应链管理</w:t>
            </w:r>
          </w:p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刘国金</w:t>
            </w:r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13438474032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</w:tbl>
    <w:p w:rsidR="004E6E4A" w:rsidRDefault="004E6E4A"/>
    <w:p w:rsidR="004E6E4A" w:rsidRDefault="00BF0735">
      <w:pPr>
        <w:pStyle w:val="BT-1"/>
        <w:rPr>
          <w:rFonts w:ascii="方正兰亭粗黑简体" w:eastAsia="方正兰亭粗黑简体" w:hAnsi="方正兰亭粗黑简体" w:cs="方正兰亭粗黑简体"/>
        </w:rPr>
      </w:pPr>
      <w:r>
        <w:rPr>
          <w:rFonts w:ascii="方正兰亭粗黑简体" w:eastAsia="方正兰亭粗黑简体" w:hAnsi="方正兰亭粗黑简体" w:cs="方正兰亭粗黑简体" w:hint="eastAsia"/>
        </w:rPr>
        <w:t>企业</w:t>
      </w:r>
      <w:r>
        <w:rPr>
          <w:rFonts w:ascii="方正兰亭粗黑简体" w:eastAsia="方正兰亭粗黑简体" w:hAnsi="方正兰亭粗黑简体" w:cs="方正兰亭粗黑简体" w:hint="eastAsia"/>
        </w:rPr>
        <w:t>需求</w:t>
      </w:r>
    </w:p>
    <w:tbl>
      <w:tblPr>
        <w:tblStyle w:val="ab"/>
        <w:tblW w:w="1424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5102"/>
        <w:gridCol w:w="1661"/>
        <w:gridCol w:w="810"/>
        <w:gridCol w:w="1346"/>
        <w:gridCol w:w="1077"/>
      </w:tblGrid>
      <w:tr w:rsidR="004E6E4A">
        <w:trPr>
          <w:trHeight w:val="90"/>
          <w:tblHeader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细分场景</w:t>
            </w:r>
          </w:p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（所在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地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类别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名称</w:t>
            </w:r>
          </w:p>
        </w:tc>
        <w:tc>
          <w:tcPr>
            <w:tcW w:w="5102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内容</w:t>
            </w:r>
          </w:p>
        </w:tc>
        <w:tc>
          <w:tcPr>
            <w:tcW w:w="1661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联系单位</w:t>
            </w:r>
          </w:p>
        </w:tc>
        <w:tc>
          <w:tcPr>
            <w:tcW w:w="810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联系人</w:t>
            </w:r>
          </w:p>
        </w:tc>
        <w:tc>
          <w:tcPr>
            <w:tcW w:w="1346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联系方式</w:t>
            </w:r>
          </w:p>
        </w:tc>
        <w:tc>
          <w:tcPr>
            <w:tcW w:w="1077" w:type="dxa"/>
            <w:shd w:val="clear" w:color="auto" w:fill="2F5496" w:themeFill="accent5" w:themeFillShade="BF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信息</w:t>
            </w:r>
          </w:p>
          <w:p w:rsidR="004E6E4A" w:rsidRDefault="00BF0735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有效期</w:t>
            </w:r>
          </w:p>
        </w:tc>
      </w:tr>
      <w:tr w:rsidR="004E6E4A">
        <w:trPr>
          <w:trHeight w:val="1254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供应链物流应用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</w:t>
            </w:r>
          </w:p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建设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彭州市中铁中基冷链产业基地</w:t>
            </w:r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建设内容：冷库、仓储、物流、配送、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鲜切加工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、检验检疫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项目总投资：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融资需求额度：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具体需求：引入银行、债券资金参与项目融资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中铁中基（彭州）供应链管理</w:t>
            </w:r>
          </w:p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有限责任公司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李鹏</w:t>
            </w:r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13511016174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.6-10</w:t>
            </w:r>
          </w:p>
        </w:tc>
      </w:tr>
      <w:tr w:rsidR="004E6E4A">
        <w:trPr>
          <w:trHeight w:val="1624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E6E4A" w:rsidRDefault="004E6E4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E6E4A" w:rsidRDefault="004E6E4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西南（简阳）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广佳电子商务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物流中心</w:t>
            </w:r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w w:val="9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建设内容：</w:t>
            </w:r>
            <w:r>
              <w:rPr>
                <w:rFonts w:asciiTheme="minorEastAsia" w:eastAsiaTheme="minorEastAsia" w:hAnsiTheme="minorEastAsia" w:cstheme="minorEastAsia" w:hint="eastAsia"/>
                <w:w w:val="90"/>
                <w:sz w:val="18"/>
                <w:szCs w:val="18"/>
              </w:rPr>
              <w:t>城市配送区、停车区、货运中转区、综合配套服务区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项目总投资：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亿元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融资需求额度：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4800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具体需求：引入银行资金参与项目融资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吴江广佳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纺织</w:t>
            </w:r>
          </w:p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发</w:t>
            </w:r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13808206584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.6-10</w:t>
            </w:r>
          </w:p>
        </w:tc>
      </w:tr>
      <w:tr w:rsidR="004E6E4A">
        <w:trPr>
          <w:trHeight w:val="1179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E6E4A" w:rsidRDefault="004E6E4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成都国际供应链与物流技术装备博览会</w:t>
            </w:r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引入供应链与物流技术装备相关知名物流企业参会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时间：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-16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  <w:p w:rsidR="004E6E4A" w:rsidRDefault="00BF0735">
            <w:pPr>
              <w:spacing w:line="28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地点：成都市世纪城新会展中心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成都北辰中金展览有限公司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贾伯飞</w:t>
            </w:r>
            <w:proofErr w:type="gramEnd"/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13911281023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4E6E4A" w:rsidRDefault="00BF0735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.6-9</w:t>
            </w:r>
          </w:p>
        </w:tc>
      </w:tr>
    </w:tbl>
    <w:p w:rsidR="004E6E4A" w:rsidRDefault="004E6E4A">
      <w:pPr>
        <w:spacing w:line="280" w:lineRule="exact"/>
        <w:rPr>
          <w:rFonts w:asciiTheme="minorEastAsia" w:eastAsiaTheme="minorEastAsia" w:hAnsiTheme="minorEastAsia" w:cstheme="minorEastAsia"/>
          <w:sz w:val="20"/>
          <w:szCs w:val="20"/>
        </w:rPr>
      </w:pPr>
    </w:p>
    <w:sectPr w:rsidR="004E6E4A">
      <w:headerReference w:type="even" r:id="rId9"/>
      <w:headerReference w:type="default" r:id="rId10"/>
      <w:footerReference w:type="even" r:id="rId11"/>
      <w:footerReference w:type="default" r:id="rId12"/>
      <w:pgSz w:w="16500" w:h="12247" w:orient="landscape"/>
      <w:pgMar w:top="1134" w:right="1134" w:bottom="1134" w:left="1134" w:header="567" w:footer="567" w:gutter="0"/>
      <w:pgNumType w:start="54"/>
      <w:cols w:space="425"/>
      <w:docGrid w:type="lines" w:linePitch="4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35" w:rsidRDefault="00BF0735">
      <w:r>
        <w:separator/>
      </w:r>
    </w:p>
  </w:endnote>
  <w:endnote w:type="continuationSeparator" w:id="0">
    <w:p w:rsidR="00BF0735" w:rsidRDefault="00BF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兰亭粗黑_GBK">
    <w:altName w:val="宋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粗黑简体">
    <w:altName w:val="黑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中黑_GBK">
    <w:altName w:val="黑体"/>
    <w:panose1 w:val="02000000000000000000"/>
    <w:charset w:val="86"/>
    <w:family w:val="auto"/>
    <w:pitch w:val="variable"/>
    <w:sig w:usb0="800002BF" w:usb1="38CF7CFA" w:usb2="00082016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黑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Times LT Std Semibold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214976"/>
    </w:sdtPr>
    <w:sdtEndPr>
      <w:rPr>
        <w:rFonts w:ascii="方正兰亭黑_GBK" w:eastAsia="方正兰亭黑_GBK" w:hint="eastAsia"/>
        <w:sz w:val="16"/>
      </w:rPr>
    </w:sdtEndPr>
    <w:sdtContent>
      <w:p w:rsidR="004E6E4A" w:rsidRDefault="00BF0735">
        <w:pPr>
          <w:pStyle w:val="a7"/>
          <w:jc w:val="center"/>
          <w:rPr>
            <w:rFonts w:ascii="方正兰亭黑_GBK" w:eastAsia="方正兰亭黑_GBK"/>
            <w:sz w:val="16"/>
            <w:szCs w:val="33"/>
          </w:rPr>
        </w:pPr>
        <w:r>
          <w:rPr>
            <w:rFonts w:ascii="方正兰亭黑_GBK" w:eastAsia="方正兰亭黑_GBK" w:hint="eastAsia"/>
            <w:sz w:val="16"/>
          </w:rPr>
          <w:fldChar w:fldCharType="begin"/>
        </w:r>
        <w:r>
          <w:rPr>
            <w:rFonts w:ascii="方正兰亭黑_GBK" w:eastAsia="方正兰亭黑_GBK" w:hint="eastAsia"/>
            <w:sz w:val="16"/>
          </w:rPr>
          <w:instrText>PAGE   \* MERGEFORMAT</w:instrText>
        </w:r>
        <w:r>
          <w:rPr>
            <w:rFonts w:ascii="方正兰亭黑_GBK" w:eastAsia="方正兰亭黑_GBK" w:hint="eastAsia"/>
            <w:sz w:val="16"/>
          </w:rPr>
          <w:fldChar w:fldCharType="separate"/>
        </w:r>
        <w:r>
          <w:rPr>
            <w:rFonts w:ascii="方正兰亭黑_GBK" w:eastAsia="方正兰亭黑_GBK"/>
            <w:sz w:val="16"/>
            <w:lang w:val="zh-CN"/>
          </w:rPr>
          <w:t>4</w:t>
        </w:r>
        <w:r>
          <w:rPr>
            <w:rFonts w:ascii="方正兰亭黑_GBK" w:eastAsia="方正兰亭黑_GBK" w:hint="eastAsia"/>
            <w:sz w:val="16"/>
          </w:rPr>
          <w:fldChar w:fldCharType="end"/>
        </w:r>
      </w:p>
    </w:sdtContent>
  </w:sdt>
  <w:p w:rsidR="004E6E4A" w:rsidRDefault="004E6E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E4A" w:rsidRDefault="00BF0735">
    <w:pPr>
      <w:pStyle w:val="a7"/>
      <w:jc w:val="center"/>
      <w:rPr>
        <w:rFonts w:ascii="方正兰亭黑_GBK" w:eastAsia="方正兰亭黑_GBK"/>
        <w:sz w:val="16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6E4A" w:rsidRDefault="00BF0735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71677">
                            <w:rPr>
                              <w:noProof/>
                            </w:rPr>
                            <w:t>54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E6E4A" w:rsidRDefault="00BF0735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71677">
                      <w:rPr>
                        <w:noProof/>
                      </w:rPr>
                      <w:t>54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Times LT Std Semibold" w:eastAsia="方正兰亭黑_GBK" w:hAnsi="Times LT Std Semibold" w:cs="Times LT Std Semibold"/>
          <w:sz w:val="14"/>
          <w:szCs w:val="14"/>
        </w:rPr>
        <w:id w:val="133694289"/>
      </w:sdtPr>
      <w:sdtEndPr>
        <w:rPr>
          <w:rFonts w:ascii="方正兰亭黑_GBK" w:hAnsi="方正兰亭黑_GBK" w:cs="方正兰亭黑_GBK"/>
          <w:sz w:val="16"/>
          <w:szCs w:val="16"/>
        </w:rPr>
      </w:sdtEndPr>
      <w:sdtContent/>
    </w:sdt>
  </w:p>
  <w:p w:rsidR="004E6E4A" w:rsidRDefault="004E6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35" w:rsidRDefault="00BF0735">
      <w:r>
        <w:separator/>
      </w:r>
    </w:p>
  </w:footnote>
  <w:footnote w:type="continuationSeparator" w:id="0">
    <w:p w:rsidR="00BF0735" w:rsidRDefault="00BF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E4A" w:rsidRDefault="00BF0735">
    <w:pPr>
      <w:pStyle w:val="a8"/>
      <w:jc w:val="left"/>
    </w:pPr>
    <w:r>
      <w:rPr>
        <w:rFonts w:hint="eastAsia"/>
        <w:noProof/>
      </w:rPr>
      <w:drawing>
        <wp:inline distT="0" distB="0" distL="0" distR="0">
          <wp:extent cx="1979930" cy="200025"/>
          <wp:effectExtent l="0" t="0" r="1270" b="9525"/>
          <wp:docPr id="3" name="图片 3" descr="C:\Users\Administrator\Desktop\成都城市机会清单2\眉头内容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成都城市机会清单2\眉头内容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2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6E4A" w:rsidRDefault="004E6E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E4A" w:rsidRDefault="00BF0735">
    <w:pPr>
      <w:pStyle w:val="a8"/>
      <w:jc w:val="left"/>
      <w:rPr>
        <w:rFonts w:ascii="方正兰亭黑_GBK" w:eastAsia="方正兰亭粗黑简体"/>
        <w:color w:val="2F5496" w:themeColor="accent5" w:themeShade="BF"/>
        <w:sz w:val="10"/>
        <w:szCs w:val="13"/>
      </w:rPr>
    </w:pPr>
    <w:r>
      <w:rPr>
        <w:rFonts w:ascii="方正兰亭黑_GBK" w:eastAsia="方正兰亭黑_GBK" w:hint="eastAsia"/>
        <w:noProof/>
        <w:color w:val="2F5496" w:themeColor="accent5" w:themeShade="BF"/>
        <w:sz w:val="13"/>
        <w:szCs w:val="13"/>
      </w:rPr>
      <w:drawing>
        <wp:inline distT="0" distB="0" distL="0" distR="0">
          <wp:extent cx="3575050" cy="254000"/>
          <wp:effectExtent l="0" t="0" r="6350" b="12700"/>
          <wp:docPr id="2" name="图片 2" descr="D:\市委\制作稿\页眉-成都.png页眉-成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市委\制作稿\页眉-成都.png页眉-成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05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EastAsia" w:eastAsiaTheme="minorEastAsia" w:hAnsiTheme="minorEastAsia" w:cs="宋体" w:hint="eastAsia"/>
        <w:color w:val="2F5496" w:themeColor="accent5" w:themeShade="BF"/>
        <w:szCs w:val="21"/>
      </w:rPr>
      <w:t xml:space="preserve">                                        </w:t>
    </w:r>
    <w:r>
      <w:rPr>
        <w:rFonts w:asciiTheme="minorEastAsia" w:eastAsiaTheme="minorEastAsia" w:hAnsiTheme="minorEastAsia" w:cs="宋体" w:hint="eastAsia"/>
        <w:color w:val="2F5496" w:themeColor="accent5" w:themeShade="BF"/>
        <w:szCs w:val="21"/>
      </w:rPr>
      <w:t xml:space="preserve">                            </w:t>
    </w:r>
    <w:r>
      <w:rPr>
        <w:rFonts w:ascii="方正兰亭黑_GBK" w:eastAsia="方正兰亭黑_GBK" w:hAnsi="方正兰亭黑_GBK" w:cs="方正兰亭黑_GBK" w:hint="eastAsia"/>
        <w:color w:val="2F5496" w:themeColor="accent5" w:themeShade="BF"/>
        <w:sz w:val="16"/>
        <w:szCs w:val="16"/>
      </w:rPr>
      <w:t>现代供应</w:t>
    </w:r>
    <w:proofErr w:type="gramStart"/>
    <w:r>
      <w:rPr>
        <w:rFonts w:ascii="方正兰亭黑_GBK" w:eastAsia="方正兰亭黑_GBK" w:hAnsi="方正兰亭黑_GBK" w:cs="方正兰亭黑_GBK" w:hint="eastAsia"/>
        <w:color w:val="2F5496" w:themeColor="accent5" w:themeShade="BF"/>
        <w:sz w:val="16"/>
        <w:szCs w:val="16"/>
      </w:rPr>
      <w:t>链创新</w:t>
    </w:r>
    <w:proofErr w:type="gramEnd"/>
    <w:r>
      <w:rPr>
        <w:rFonts w:ascii="方正兰亭黑_GBK" w:eastAsia="方正兰亭黑_GBK" w:hAnsi="方正兰亭黑_GBK" w:cs="方正兰亭黑_GBK" w:hint="eastAsia"/>
        <w:color w:val="2F5496" w:themeColor="accent5" w:themeShade="BF"/>
        <w:sz w:val="16"/>
        <w:szCs w:val="16"/>
      </w:rPr>
      <w:t>应用场景需求信息</w:t>
    </w:r>
  </w:p>
  <w:p w:rsidR="004E6E4A" w:rsidRDefault="004E6E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65"/>
  <w:drawingGridVerticalSpacing w:val="44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2829"/>
    <w:rsid w:val="00132F2A"/>
    <w:rsid w:val="001A4A38"/>
    <w:rsid w:val="001B2A9E"/>
    <w:rsid w:val="00271677"/>
    <w:rsid w:val="00290A08"/>
    <w:rsid w:val="002A2099"/>
    <w:rsid w:val="002E171D"/>
    <w:rsid w:val="00347712"/>
    <w:rsid w:val="00372A24"/>
    <w:rsid w:val="003739DC"/>
    <w:rsid w:val="003B32D3"/>
    <w:rsid w:val="003C212B"/>
    <w:rsid w:val="004063E0"/>
    <w:rsid w:val="0047786A"/>
    <w:rsid w:val="00487B59"/>
    <w:rsid w:val="004E6E4A"/>
    <w:rsid w:val="00527D2A"/>
    <w:rsid w:val="00542FF0"/>
    <w:rsid w:val="00582698"/>
    <w:rsid w:val="005D1D27"/>
    <w:rsid w:val="00627566"/>
    <w:rsid w:val="006F28DB"/>
    <w:rsid w:val="00760894"/>
    <w:rsid w:val="00774600"/>
    <w:rsid w:val="007D1F03"/>
    <w:rsid w:val="008834C4"/>
    <w:rsid w:val="0095601F"/>
    <w:rsid w:val="00A527DF"/>
    <w:rsid w:val="00A75B9E"/>
    <w:rsid w:val="00AC2060"/>
    <w:rsid w:val="00BB2F8C"/>
    <w:rsid w:val="00BC23B0"/>
    <w:rsid w:val="00BF0735"/>
    <w:rsid w:val="00BF7DDD"/>
    <w:rsid w:val="00C2673B"/>
    <w:rsid w:val="00C84B33"/>
    <w:rsid w:val="00CD441D"/>
    <w:rsid w:val="00D8679F"/>
    <w:rsid w:val="00E1035F"/>
    <w:rsid w:val="00F72154"/>
    <w:rsid w:val="00FE1984"/>
    <w:rsid w:val="00FE3276"/>
    <w:rsid w:val="03556206"/>
    <w:rsid w:val="06D02829"/>
    <w:rsid w:val="079526A8"/>
    <w:rsid w:val="10323724"/>
    <w:rsid w:val="10F45906"/>
    <w:rsid w:val="120A1C83"/>
    <w:rsid w:val="1D311C30"/>
    <w:rsid w:val="1F3C2AB0"/>
    <w:rsid w:val="229C3DD9"/>
    <w:rsid w:val="24ED2F53"/>
    <w:rsid w:val="25F96AE4"/>
    <w:rsid w:val="276449A9"/>
    <w:rsid w:val="2E903837"/>
    <w:rsid w:val="3004113E"/>
    <w:rsid w:val="390353A6"/>
    <w:rsid w:val="390E4E8D"/>
    <w:rsid w:val="3BFA22A8"/>
    <w:rsid w:val="3F841922"/>
    <w:rsid w:val="4076060E"/>
    <w:rsid w:val="43C421DA"/>
    <w:rsid w:val="44C1668D"/>
    <w:rsid w:val="45FB29A3"/>
    <w:rsid w:val="4D556A30"/>
    <w:rsid w:val="4D994E0C"/>
    <w:rsid w:val="4DAA0DF4"/>
    <w:rsid w:val="4ED2653C"/>
    <w:rsid w:val="4FFD7F4C"/>
    <w:rsid w:val="53B94D0E"/>
    <w:rsid w:val="552F4253"/>
    <w:rsid w:val="553E2530"/>
    <w:rsid w:val="57940107"/>
    <w:rsid w:val="5A5C7866"/>
    <w:rsid w:val="5D8B1F33"/>
    <w:rsid w:val="601D2114"/>
    <w:rsid w:val="67B73FE7"/>
    <w:rsid w:val="68973FF9"/>
    <w:rsid w:val="6A72619C"/>
    <w:rsid w:val="6AFF1738"/>
    <w:rsid w:val="6DB5469F"/>
    <w:rsid w:val="6EBC5AC1"/>
    <w:rsid w:val="6EC554E7"/>
    <w:rsid w:val="727C7F59"/>
    <w:rsid w:val="73A80267"/>
    <w:rsid w:val="75167303"/>
    <w:rsid w:val="765E6FBE"/>
    <w:rsid w:val="78444288"/>
    <w:rsid w:val="78D75B9E"/>
    <w:rsid w:val="798A6714"/>
    <w:rsid w:val="7A360D7B"/>
    <w:rsid w:val="7C5240CA"/>
    <w:rsid w:val="7D2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Times New Roman" w:eastAsia="方正仿宋简体" w:hAnsi="Times New Roman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next w:val="a"/>
    <w:uiPriority w:val="99"/>
    <w:semiHidden/>
    <w:qFormat/>
    <w:rPr>
      <w:rFonts w:ascii="宋体" w:cs="宋体"/>
      <w:sz w:val="18"/>
      <w:szCs w:val="18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99"/>
    <w:qFormat/>
    <w:rPr>
      <w:rFonts w:ascii="宋体" w:hAnsi="宋体" w:cs="宋体"/>
      <w:sz w:val="28"/>
      <w:szCs w:val="28"/>
      <w:lang w:val="zh-CN"/>
    </w:r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paragraph" w:styleId="aa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qFormat/>
    <w:rPr>
      <w:sz w:val="21"/>
      <w:szCs w:val="21"/>
    </w:rPr>
  </w:style>
  <w:style w:type="character" w:customStyle="1" w:styleId="Char">
    <w:name w:val="批注框文本 Char"/>
    <w:basedOn w:val="a1"/>
    <w:link w:val="a6"/>
    <w:qFormat/>
    <w:rPr>
      <w:rFonts w:eastAsia="方正仿宋简体"/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rPr>
      <w:rFonts w:eastAsia="方正仿宋简体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eastAsia="方正仿宋简体"/>
      <w:sz w:val="18"/>
      <w:szCs w:val="18"/>
    </w:rPr>
  </w:style>
  <w:style w:type="paragraph" w:customStyle="1" w:styleId="BT-1">
    <w:name w:val="BT-1"/>
    <w:basedOn w:val="a"/>
    <w:link w:val="BT-1Char"/>
    <w:qFormat/>
    <w:pPr>
      <w:spacing w:afterLines="50" w:after="224" w:line="500" w:lineRule="exact"/>
      <w:jc w:val="center"/>
    </w:pPr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BT-1Char">
    <w:name w:val="BT-1 Char"/>
    <w:basedOn w:val="a1"/>
    <w:link w:val="BT-1"/>
    <w:qFormat/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Char2">
    <w:name w:val="标题 Char"/>
    <w:basedOn w:val="a1"/>
    <w:link w:val="aa"/>
    <w:qFormat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Times New Roman" w:eastAsia="方正仿宋简体" w:hAnsi="Times New Roman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next w:val="a"/>
    <w:uiPriority w:val="99"/>
    <w:semiHidden/>
    <w:qFormat/>
    <w:rPr>
      <w:rFonts w:ascii="宋体" w:cs="宋体"/>
      <w:sz w:val="18"/>
      <w:szCs w:val="18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99"/>
    <w:qFormat/>
    <w:rPr>
      <w:rFonts w:ascii="宋体" w:hAnsi="宋体" w:cs="宋体"/>
      <w:sz w:val="28"/>
      <w:szCs w:val="28"/>
      <w:lang w:val="zh-CN"/>
    </w:r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paragraph" w:styleId="aa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qFormat/>
    <w:rPr>
      <w:sz w:val="21"/>
      <w:szCs w:val="21"/>
    </w:rPr>
  </w:style>
  <w:style w:type="character" w:customStyle="1" w:styleId="Char">
    <w:name w:val="批注框文本 Char"/>
    <w:basedOn w:val="a1"/>
    <w:link w:val="a6"/>
    <w:qFormat/>
    <w:rPr>
      <w:rFonts w:eastAsia="方正仿宋简体"/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rPr>
      <w:rFonts w:eastAsia="方正仿宋简体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eastAsia="方正仿宋简体"/>
      <w:sz w:val="18"/>
      <w:szCs w:val="18"/>
    </w:rPr>
  </w:style>
  <w:style w:type="paragraph" w:customStyle="1" w:styleId="BT-1">
    <w:name w:val="BT-1"/>
    <w:basedOn w:val="a"/>
    <w:link w:val="BT-1Char"/>
    <w:qFormat/>
    <w:pPr>
      <w:spacing w:afterLines="50" w:after="224" w:line="500" w:lineRule="exact"/>
      <w:jc w:val="center"/>
    </w:pPr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BT-1Char">
    <w:name w:val="BT-1 Char"/>
    <w:basedOn w:val="a1"/>
    <w:link w:val="BT-1"/>
    <w:qFormat/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Char2">
    <w:name w:val="标题 Char"/>
    <w:basedOn w:val="a1"/>
    <w:link w:val="aa"/>
    <w:qFormat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0BEA3E-E77F-4E96-8115-A6C67E46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1386</Characters>
  <Application>Microsoft Office Word</Application>
  <DocSecurity>0</DocSecurity>
  <Lines>11</Lines>
  <Paragraphs>3</Paragraphs>
  <ScaleCrop>false</ScaleCrop>
  <Company>Micorosoft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马克图布</dc:creator>
  <cp:lastModifiedBy>Micorosoft</cp:lastModifiedBy>
  <cp:revision>6</cp:revision>
  <cp:lastPrinted>2019-06-10T05:48:00Z</cp:lastPrinted>
  <dcterms:created xsi:type="dcterms:W3CDTF">2019-06-04T06:43:00Z</dcterms:created>
  <dcterms:modified xsi:type="dcterms:W3CDTF">2019-06-10T05:49:00Z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