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both"/>
      </w:pPr>
    </w:p>
    <w:p>
      <w:pPr>
        <w:pStyle w:val="17"/>
        <w:jc w:val="both"/>
      </w:pPr>
    </w:p>
    <w:p>
      <w:pPr>
        <w:pStyle w:val="17"/>
        <w:jc w:val="both"/>
      </w:pPr>
    </w:p>
    <w:p>
      <w:pPr>
        <w:pStyle w:val="17"/>
        <w:jc w:val="both"/>
      </w:pPr>
    </w:p>
    <w:p>
      <w:pPr>
        <w:pStyle w:val="9"/>
        <w:rPr>
          <w:rFonts w:hint="eastAsia" w:ascii="方正兰亭粗黑简体" w:hAnsi="方正兰亭粗黑简体" w:eastAsia="方正兰亭粗黑简体" w:cs="方正兰亭粗黑简体"/>
          <w:b w:val="0"/>
          <w:color w:val="2F5597" w:themeColor="accent5" w:themeShade="BF"/>
          <w:sz w:val="72"/>
          <w:szCs w:val="72"/>
          <w:lang w:eastAsia="zh-CN"/>
        </w:rPr>
      </w:pPr>
      <w:r>
        <w:rPr>
          <w:rFonts w:hint="eastAsia" w:ascii="方正兰亭粗黑简体" w:hAnsi="方正兰亭粗黑简体" w:eastAsia="方正兰亭粗黑简体" w:cs="方正兰亭粗黑简体"/>
          <w:b w:val="0"/>
          <w:color w:val="2F5597" w:themeColor="accent5" w:themeShade="BF"/>
          <w:sz w:val="72"/>
          <w:szCs w:val="72"/>
          <w:lang w:eastAsia="zh-CN"/>
        </w:rPr>
        <w:t>公共服务平台名录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</w:rPr>
        <w:t>个细分场景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  <w:t>、12个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eastAsia="zh-CN"/>
        </w:rPr>
        <w:t>平台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1"/>
        <w:tblW w:w="14249" w:type="dxa"/>
        <w:tblInd w:w="10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276"/>
        <w:gridCol w:w="1438"/>
        <w:gridCol w:w="2482"/>
        <w:gridCol w:w="4159"/>
        <w:gridCol w:w="1661"/>
        <w:gridCol w:w="810"/>
        <w:gridCol w:w="1346"/>
        <w:gridCol w:w="107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276" w:type="dxa"/>
            <w:tcBorders>
              <w:bottom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  <w:t>细分场景</w:t>
            </w:r>
          </w:p>
        </w:tc>
        <w:tc>
          <w:tcPr>
            <w:tcW w:w="1438" w:type="dxa"/>
            <w:tcBorders>
              <w:bottom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:lang w:eastAsia="zh-CN"/>
                <w14:textFill>
                  <w14:solidFill>
                    <w14:schemeClr w14:val="bg1"/>
                  </w14:solidFill>
                </w14:textFill>
              </w:rPr>
              <w:t>平台名称</w:t>
            </w:r>
          </w:p>
        </w:tc>
        <w:tc>
          <w:tcPr>
            <w:tcW w:w="2482" w:type="dxa"/>
            <w:shd w:val="clear" w:color="auto" w:fill="2F5496" w:themeFill="accent5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方正兰亭中黑_GBK" w:hAnsi="黑体" w:eastAsia="方正兰亭中黑_GBK"/>
                <w:color w:val="FFFFFF" w:themeColor="background1"/>
                <w:sz w:val="18"/>
                <w:szCs w:val="1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:lang w:eastAsia="zh-CN"/>
                <w14:textFill>
                  <w14:solidFill>
                    <w14:schemeClr w14:val="bg1"/>
                  </w14:solidFill>
                </w14:textFill>
              </w:rPr>
              <w:t>获取地址</w:t>
            </w: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/网址</w:t>
            </w:r>
          </w:p>
        </w:tc>
        <w:tc>
          <w:tcPr>
            <w:tcW w:w="4159" w:type="dxa"/>
            <w:shd w:val="clear" w:color="auto" w:fill="2F5496" w:themeFill="accent5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:lang w:eastAsia="zh-CN"/>
                <w14:textFill>
                  <w14:solidFill>
                    <w14:schemeClr w14:val="bg1"/>
                  </w14:solidFill>
                </w14:textFill>
              </w:rPr>
              <w:t>服务领域</w:t>
            </w:r>
          </w:p>
        </w:tc>
        <w:tc>
          <w:tcPr>
            <w:tcW w:w="1661" w:type="dxa"/>
            <w:shd w:val="clear" w:color="auto" w:fill="2F5496" w:themeFill="accent5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:lang w:eastAsia="zh-CN"/>
                <w14:textFill>
                  <w14:solidFill>
                    <w14:schemeClr w14:val="bg1"/>
                  </w14:solidFill>
                </w14:textFill>
              </w:rPr>
              <w:t>主管单位</w:t>
            </w:r>
          </w:p>
        </w:tc>
        <w:tc>
          <w:tcPr>
            <w:tcW w:w="810" w:type="dxa"/>
            <w:shd w:val="clear" w:color="auto" w:fill="2F5496" w:themeFill="accent5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  <w:t>联系人</w:t>
            </w:r>
          </w:p>
        </w:tc>
        <w:tc>
          <w:tcPr>
            <w:tcW w:w="1346" w:type="dxa"/>
            <w:shd w:val="clear" w:color="auto" w:fill="2F5496" w:themeFill="accent5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  <w:t>联系方式</w:t>
            </w:r>
          </w:p>
        </w:tc>
        <w:tc>
          <w:tcPr>
            <w:tcW w:w="1077" w:type="dxa"/>
            <w:shd w:val="clear" w:color="auto" w:fill="2F5496" w:themeFill="accent5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59" w:hRule="atLeast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人力资源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新都区就业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创业平台</w:t>
            </w:r>
          </w:p>
        </w:tc>
        <w:tc>
          <w:tcPr>
            <w:tcW w:w="2482" w:type="dxa"/>
            <w:tcBorders>
              <w:lef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微信公众号：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新都区就业创业直通车</w:t>
            </w:r>
          </w:p>
        </w:tc>
        <w:tc>
          <w:tcPr>
            <w:tcW w:w="4159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涵盖就业创业、企业稳岗补贴、技能提升网上经办，企业用工、个人求职信息发布等</w:t>
            </w:r>
          </w:p>
        </w:tc>
        <w:tc>
          <w:tcPr>
            <w:tcW w:w="1661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新都区人社局</w:t>
            </w:r>
          </w:p>
        </w:tc>
        <w:tc>
          <w:tcPr>
            <w:tcW w:w="81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王学芳</w:t>
            </w:r>
          </w:p>
        </w:tc>
        <w:tc>
          <w:tcPr>
            <w:tcW w:w="1346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028-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89399301</w:t>
            </w:r>
          </w:p>
        </w:tc>
        <w:tc>
          <w:tcPr>
            <w:tcW w:w="1077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长期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80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中国成都人力资源服务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产业园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（成都人才园）</w:t>
            </w:r>
          </w:p>
        </w:tc>
        <w:tc>
          <w:tcPr>
            <w:tcW w:w="2482" w:type="dxa"/>
            <w:tcBorders>
              <w:lef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1.微信服务号：中国成都人力资源服务产业园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2.微信订阅号：成都人才园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3.官网：中国成都人力资源服务产业园http://www.chinacdhr.com/</w:t>
            </w:r>
          </w:p>
        </w:tc>
        <w:tc>
          <w:tcPr>
            <w:tcW w:w="4159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为企业入驻提供公共行政服务、信息服务功能、商务服务功能、产业集聚服务功能及相关配套服务</w:t>
            </w:r>
          </w:p>
        </w:tc>
        <w:tc>
          <w:tcPr>
            <w:tcW w:w="1661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成都市青羊区国投建设发展有限公司</w:t>
            </w:r>
          </w:p>
        </w:tc>
        <w:tc>
          <w:tcPr>
            <w:tcW w:w="81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李婷</w:t>
            </w:r>
          </w:p>
        </w:tc>
        <w:tc>
          <w:tcPr>
            <w:tcW w:w="1346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13550342631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028-87573679</w:t>
            </w:r>
          </w:p>
        </w:tc>
        <w:tc>
          <w:tcPr>
            <w:tcW w:w="1077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长期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25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成都市人才开发指引（2019）（人才白皮书）</w:t>
            </w:r>
          </w:p>
        </w:tc>
        <w:tc>
          <w:tcPr>
            <w:tcW w:w="2482" w:type="dxa"/>
            <w:tcBorders>
              <w:lef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成都市人力资源和社会保障局（官网）-专题专栏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http://cdhrss.chengdu.gov.cn/cdrsj/index.shtml</w:t>
            </w:r>
          </w:p>
        </w:tc>
        <w:tc>
          <w:tcPr>
            <w:tcW w:w="4159" w:type="dxa"/>
            <w:shd w:val="clear" w:color="auto" w:fill="DEEBF6" w:themeFill="accent1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围绕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5+5+1”重点产业领域15个重点产业、445类需求岗位清单，重点招引包括“国际顶尖人才、国家级领军人才、地方级领军人才、高级人才、创客人才、基础人才和民间优才”七大类紧缺人才</w:t>
            </w:r>
          </w:p>
        </w:tc>
        <w:tc>
          <w:tcPr>
            <w:tcW w:w="1661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市人社局</w:t>
            </w:r>
          </w:p>
        </w:tc>
        <w:tc>
          <w:tcPr>
            <w:tcW w:w="81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邱育林</w:t>
            </w:r>
          </w:p>
        </w:tc>
        <w:tc>
          <w:tcPr>
            <w:tcW w:w="1346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028-61888121</w:t>
            </w:r>
          </w:p>
        </w:tc>
        <w:tc>
          <w:tcPr>
            <w:tcW w:w="1077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长期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73" w:hRule="atLeast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shd w:val="clear" w:color="auto" w:fill="FFD965" w:themeFill="accent4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金融科技</w:t>
            </w:r>
          </w:p>
        </w:tc>
        <w:tc>
          <w:tcPr>
            <w:tcW w:w="143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盈创动力科技服务平台</w:t>
            </w:r>
          </w:p>
        </w:tc>
        <w:tc>
          <w:tcPr>
            <w:tcW w:w="2482" w:type="dxa"/>
            <w:tcBorders>
              <w:lef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https://www.winpow.com/</w:t>
            </w:r>
          </w:p>
        </w:tc>
        <w:tc>
          <w:tcPr>
            <w:tcW w:w="4159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为中小型中小企业提供债权融资服务、股权融资服务和增值服务</w:t>
            </w:r>
          </w:p>
        </w:tc>
        <w:tc>
          <w:tcPr>
            <w:tcW w:w="1661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成都高新投资集团有限公司</w:t>
            </w:r>
          </w:p>
        </w:tc>
        <w:tc>
          <w:tcPr>
            <w:tcW w:w="81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熊飞</w:t>
            </w:r>
          </w:p>
        </w:tc>
        <w:tc>
          <w:tcPr>
            <w:tcW w:w="1346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028-85220797</w:t>
            </w:r>
          </w:p>
        </w:tc>
        <w:tc>
          <w:tcPr>
            <w:tcW w:w="1077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长期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shd w:val="clear" w:color="auto" w:fill="FFD965" w:themeFill="accent4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创富天府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平台</w:t>
            </w:r>
          </w:p>
        </w:tc>
        <w:tc>
          <w:tcPr>
            <w:tcW w:w="2482" w:type="dxa"/>
            <w:tcBorders>
              <w:lef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微信公众号：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天府国际基金小镇</w:t>
            </w:r>
          </w:p>
        </w:tc>
        <w:tc>
          <w:tcPr>
            <w:tcW w:w="4159" w:type="dxa"/>
            <w:shd w:val="clear" w:color="auto" w:fill="FEF2CC" w:themeFill="accent4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小镇最新政策、服务、机构入驻等信息；发布小镇最新动态、活动安排；传递行业最新咨询</w:t>
            </w:r>
          </w:p>
        </w:tc>
        <w:tc>
          <w:tcPr>
            <w:tcW w:w="1661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天府国际基金小镇</w:t>
            </w:r>
          </w:p>
        </w:tc>
        <w:tc>
          <w:tcPr>
            <w:tcW w:w="81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闫冬寅</w:t>
            </w:r>
          </w:p>
        </w:tc>
        <w:tc>
          <w:tcPr>
            <w:tcW w:w="1346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15882208814</w:t>
            </w:r>
          </w:p>
        </w:tc>
        <w:tc>
          <w:tcPr>
            <w:tcW w:w="1077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长期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14" w:hRule="atLeast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医疗健康</w:t>
            </w:r>
          </w:p>
        </w:tc>
        <w:tc>
          <w:tcPr>
            <w:tcW w:w="14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天府企业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生命中心</w:t>
            </w:r>
          </w:p>
        </w:tc>
        <w:tc>
          <w:tcPr>
            <w:tcW w:w="2482" w:type="dxa"/>
            <w:tcBorders>
              <w:lef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instrText xml:space="preserve"> HYPERLINK "http://www.tfqysmzx.com/" </w:instrTex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http://www.tfqysmzx.com/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微信公众号：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天府企业生命中心</w:t>
            </w:r>
          </w:p>
        </w:tc>
        <w:tc>
          <w:tcPr>
            <w:tcW w:w="4159" w:type="dxa"/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针对企业发展的不同阶段，提供利于企业发展的靶向服务，从工商注册、项目投资、项目运行、人才引进、团队建设、资金管理、技术研发、产品投入市场</w:t>
            </w:r>
          </w:p>
        </w:tc>
        <w:tc>
          <w:tcPr>
            <w:tcW w:w="1661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成都双流创新创业企业服务有限公司</w:t>
            </w:r>
          </w:p>
        </w:tc>
        <w:tc>
          <w:tcPr>
            <w:tcW w:w="81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周平</w:t>
            </w:r>
          </w:p>
        </w:tc>
        <w:tc>
          <w:tcPr>
            <w:tcW w:w="1346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15281028314</w:t>
            </w:r>
          </w:p>
        </w:tc>
        <w:tc>
          <w:tcPr>
            <w:tcW w:w="1077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长期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13" w:hRule="atLeast"/>
        </w:trPr>
        <w:tc>
          <w:tcPr>
            <w:tcW w:w="1276" w:type="dxa"/>
            <w:vMerge w:val="continue"/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中药材天地网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（中国药材产</w:t>
            </w: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业信息门户）</w:t>
            </w:r>
          </w:p>
        </w:tc>
        <w:tc>
          <w:tcPr>
            <w:tcW w:w="2482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instrText xml:space="preserve"> HYPERLINK "http://www.zyctd.com/" \t "_blank" </w:instrTex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www.zyctd.com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59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</w:rPr>
              <w:t>中药材产业信息门户和产业链服务商，集中药材信息采集传播、中药材商品网上供需交易和网下物流服务、中药材行业咨询</w:t>
            </w:r>
          </w:p>
        </w:tc>
        <w:tc>
          <w:tcPr>
            <w:tcW w:w="1661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成都天地网信息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科技有限公司</w:t>
            </w:r>
          </w:p>
        </w:tc>
        <w:tc>
          <w:tcPr>
            <w:tcW w:w="81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余佳</w:t>
            </w:r>
          </w:p>
        </w:tc>
        <w:tc>
          <w:tcPr>
            <w:tcW w:w="1346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13880713441</w:t>
            </w:r>
          </w:p>
        </w:tc>
        <w:tc>
          <w:tcPr>
            <w:tcW w:w="1077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长期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9" w:hRule="atLeast"/>
        </w:trPr>
        <w:tc>
          <w:tcPr>
            <w:tcW w:w="1276" w:type="dxa"/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供应链</w:t>
            </w:r>
          </w:p>
        </w:tc>
        <w:tc>
          <w:tcPr>
            <w:tcW w:w="1438" w:type="dxa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大宗商品全产业链服务平台</w:t>
            </w:r>
          </w:p>
        </w:tc>
        <w:tc>
          <w:tcPr>
            <w:tcW w:w="2482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instrText xml:space="preserve"> HYPERLINK "http://www.jwell56.com/" </w:instrTex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http://www.jwell56.com/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微信公众号：积微物联</w:t>
            </w:r>
          </w:p>
        </w:tc>
        <w:tc>
          <w:tcPr>
            <w:tcW w:w="4159" w:type="dxa"/>
            <w:shd w:val="clear" w:color="auto" w:fill="E2EFDA" w:themeFill="accent6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提供钢铁、钒钛、化工等大宗商品的在线交易、支付结算、智能仓储、智慧物流、高端加工、供应链金融、跨境贸易、资讯技术、商务配套等一站式服务和整体解决方案</w:t>
            </w:r>
          </w:p>
        </w:tc>
        <w:tc>
          <w:tcPr>
            <w:tcW w:w="1661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成都积微物联集团股份有限公司</w:t>
            </w:r>
          </w:p>
        </w:tc>
        <w:tc>
          <w:tcPr>
            <w:tcW w:w="81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张佳玲</w:t>
            </w:r>
          </w:p>
        </w:tc>
        <w:tc>
          <w:tcPr>
            <w:tcW w:w="1346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13547825749</w:t>
            </w:r>
          </w:p>
        </w:tc>
        <w:tc>
          <w:tcPr>
            <w:tcW w:w="1077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长期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49" w:hRule="atLeast"/>
        </w:trPr>
        <w:tc>
          <w:tcPr>
            <w:tcW w:w="1276" w:type="dxa"/>
            <w:vMerge w:val="restart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数据开放</w:t>
            </w:r>
          </w:p>
        </w:tc>
        <w:tc>
          <w:tcPr>
            <w:tcW w:w="1438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成都公共数据开放平台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（龙泉驿区）</w:t>
            </w:r>
          </w:p>
        </w:tc>
        <w:tc>
          <w:tcPr>
            <w:tcW w:w="248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www.cddata.gov.cn</w:t>
            </w:r>
          </w:p>
        </w:tc>
        <w:tc>
          <w:tcPr>
            <w:tcW w:w="4159" w:type="dxa"/>
            <w:shd w:val="clear" w:color="auto" w:fill="FBE5D6" w:themeFill="accent2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提供成都市政务部门可开放的各类数据的下载与服务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成都市龙泉驿区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行政审批局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孙奎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02888450910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.6-12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3" w:hRule="atLeast"/>
        </w:trPr>
        <w:tc>
          <w:tcPr>
            <w:tcW w:w="1276" w:type="dxa"/>
            <w:vMerge w:val="continue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农村土地交易服务平台</w:t>
            </w:r>
          </w:p>
        </w:tc>
        <w:tc>
          <w:tcPr>
            <w:tcW w:w="248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https://www.cdaee.com/</w:t>
            </w:r>
          </w:p>
        </w:tc>
        <w:tc>
          <w:tcPr>
            <w:tcW w:w="4159" w:type="dxa"/>
            <w:shd w:val="clear" w:color="auto" w:fill="FBE5D6" w:themeFill="accent2" w:themeFillTint="3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为各类农村产权流转交易提供服务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成都农村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产权交易所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陈伶俐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028-85987198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13880846432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长期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48" w:hRule="atLeast"/>
        </w:trPr>
        <w:tc>
          <w:tcPr>
            <w:tcW w:w="1276" w:type="dxa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政策发布</w:t>
            </w:r>
          </w:p>
        </w:tc>
        <w:tc>
          <w:tcPr>
            <w:tcW w:w="1438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成都工业和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信息化</w:t>
            </w:r>
          </w:p>
        </w:tc>
        <w:tc>
          <w:tcPr>
            <w:tcW w:w="248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微信公众号：CDSJXW</w:t>
            </w:r>
          </w:p>
        </w:tc>
        <w:tc>
          <w:tcPr>
            <w:tcW w:w="4159" w:type="dxa"/>
            <w:shd w:val="clear" w:color="auto" w:fill="FBE5D6" w:themeFill="accent2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推送工业经济和信息化工作动态，解读产业发展政策，为产业发展服务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市经信局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李老师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61881593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长期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64" w:hRule="atLeast"/>
        </w:trPr>
        <w:tc>
          <w:tcPr>
            <w:tcW w:w="1276" w:type="dxa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文化创意</w:t>
            </w:r>
          </w:p>
        </w:tc>
        <w:tc>
          <w:tcPr>
            <w:tcW w:w="1438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成都市文创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color w:val="000000"/>
                <w:sz w:val="18"/>
                <w:szCs w:val="18"/>
              </w:rPr>
              <w:t>产业公共服务平台</w:t>
            </w:r>
          </w:p>
        </w:tc>
        <w:tc>
          <w:tcPr>
            <w:tcW w:w="248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http://cdwc.cdwglj.chengdu.gov.cn/</w:t>
            </w:r>
          </w:p>
        </w:tc>
        <w:tc>
          <w:tcPr>
            <w:tcW w:w="4159" w:type="dxa"/>
            <w:shd w:val="clear" w:color="auto" w:fill="FBE5D6" w:themeFill="accent2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文创信息服务、文创金融服务、文创消费服务、文创统计服务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市文广旅局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薛继业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028-61882968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2019.6-12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500" w:h="12247" w:orient="landscape"/>
      <w:pgMar w:top="1134" w:right="1134" w:bottom="1134" w:left="1134" w:header="567" w:footer="567" w:gutter="0"/>
      <w:pgNumType w:fmt="decimal" w:start="104"/>
      <w:cols w:space="425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azanami Mincho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azanami Mincho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zanami Mincho">
    <w:panose1 w:val="02000009000000000000"/>
    <w:charset w:val="80"/>
    <w:family w:val="auto"/>
    <w:pitch w:val="default"/>
    <w:sig w:usb0="A00002BF" w:usb1="68C7FCFB" w:usb2="00000010" w:usb3="00000000" w:csb0="8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兰亭粗黑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中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方正兰亭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imes LT Std Semibold">
    <w:panose1 w:val="02020703080505020304"/>
    <w:charset w:val="00"/>
    <w:family w:val="auto"/>
    <w:pitch w:val="default"/>
    <w:sig w:usb0="800000AF" w:usb1="4000204A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 w:ascii="方正兰亭黑_GBK" w:eastAsia="方正兰亭黑_GBK"/>
        <w:sz w:val="16"/>
        <w:lang w:val="en-US"/>
      </w:rPr>
    </w:pPr>
    <w:r>
      <w:rPr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hint="default" w:ascii="Times LT Std Semibold" w:hAnsi="Times LT Std Semibold" w:eastAsia="方正兰亭黑_GBK" w:cs="Times LT Std Semibold"/>
          <w:sz w:val="14"/>
          <w:szCs w:val="14"/>
        </w:rPr>
        <w:id w:val="133694289"/>
        <w:docPartObj>
          <w:docPartGallery w:val="autotext"/>
        </w:docPartObj>
      </w:sdtPr>
      <w:sdtEndPr>
        <w:rPr>
          <w:rFonts w:hint="default" w:ascii="方正兰亭黑_GBK" w:hAnsi="方正兰亭黑_GBK" w:eastAsia="方正兰亭黑_GBK" w:cs="方正兰亭黑_GBK"/>
          <w:sz w:val="16"/>
          <w:szCs w:val="16"/>
          <w:lang w:val="en-US"/>
        </w:rPr>
      </w:sdtEndPr>
      <w:sdtContent/>
    </w:sdt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4214976"/>
      <w:docPartObj>
        <w:docPartGallery w:val="autotext"/>
      </w:docPartObj>
    </w:sdtPr>
    <w:sdtEndPr>
      <w:rPr>
        <w:rFonts w:hint="eastAsia" w:ascii="方正兰亭黑_GBK" w:eastAsia="方正兰亭黑_GBK"/>
        <w:sz w:val="16"/>
      </w:rPr>
    </w:sdtEndPr>
    <w:sdtContent>
      <w:p>
        <w:pPr>
          <w:pStyle w:val="6"/>
          <w:jc w:val="center"/>
          <w:rPr>
            <w:rFonts w:ascii="方正兰亭黑_GBK" w:eastAsia="方正兰亭黑_GBK"/>
            <w:sz w:val="16"/>
            <w:szCs w:val="33"/>
          </w:rPr>
        </w:pPr>
        <w:r>
          <w:rPr>
            <w:rFonts w:hint="eastAsia" w:ascii="方正兰亭黑_GBK" w:eastAsia="方正兰亭黑_GBK"/>
            <w:sz w:val="16"/>
          </w:rPr>
          <w:fldChar w:fldCharType="begin"/>
        </w:r>
        <w:r>
          <w:rPr>
            <w:rFonts w:hint="eastAsia" w:ascii="方正兰亭黑_GBK" w:eastAsia="方正兰亭黑_GBK"/>
            <w:sz w:val="16"/>
          </w:rPr>
          <w:instrText xml:space="preserve">PAGE   \* MERGEFORMAT</w:instrText>
        </w:r>
        <w:r>
          <w:rPr>
            <w:rFonts w:hint="eastAsia" w:ascii="方正兰亭黑_GBK" w:eastAsia="方正兰亭黑_GBK"/>
            <w:sz w:val="16"/>
          </w:rPr>
          <w:fldChar w:fldCharType="separate"/>
        </w:r>
        <w:r>
          <w:rPr>
            <w:rFonts w:ascii="方正兰亭黑_GBK" w:eastAsia="方正兰亭黑_GBK"/>
            <w:sz w:val="16"/>
            <w:lang w:val="zh-CN"/>
          </w:rPr>
          <w:t>4</w:t>
        </w:r>
        <w:r>
          <w:rPr>
            <w:rFonts w:hint="eastAsia" w:ascii="方正兰亭黑_GBK" w:eastAsia="方正兰亭黑_GBK"/>
            <w:sz w:val="16"/>
          </w:rPr>
          <w:fldChar w:fldCharType="end"/>
        </w:r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240" w:lineRule="auto"/>
      <w:jc w:val="left"/>
      <w:rPr>
        <w:rFonts w:hint="eastAsia" w:ascii="方正兰亭黑_GBK" w:eastAsia="方正兰亭粗黑简体"/>
        <w:color w:val="2F5597" w:themeColor="accent5" w:themeShade="BF"/>
        <w:sz w:val="10"/>
        <w:szCs w:val="13"/>
        <w:lang w:val="en-US" w:eastAsia="zh-CN"/>
      </w:rPr>
    </w:pPr>
    <w:r>
      <w:rPr>
        <w:rFonts w:hint="eastAsia" w:ascii="方正兰亭黑_GBK" w:eastAsia="方正兰亭黑_GBK"/>
        <w:color w:val="2F5597" w:themeColor="accent5" w:themeShade="BF"/>
        <w:sz w:val="13"/>
        <w:szCs w:val="13"/>
      </w:rPr>
      <w:drawing>
        <wp:inline distT="0" distB="0" distL="0" distR="0">
          <wp:extent cx="3575050" cy="254000"/>
          <wp:effectExtent l="0" t="0" r="6350" b="12700"/>
          <wp:docPr id="2" name="图片 2" descr="D:\市委\制作稿\页眉-成都.png页眉-成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市委\制作稿\页眉-成都.png页眉-成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05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cs="宋体" w:asciiTheme="minorEastAsia" w:hAnsiTheme="minorEastAsia" w:eastAsiaTheme="minorEastAsia"/>
        <w:color w:val="2F5597" w:themeColor="accent5" w:themeShade="BF"/>
        <w:szCs w:val="21"/>
      </w:rPr>
      <w:t xml:space="preserve">                                        </w:t>
    </w:r>
    <w:r>
      <w:rPr>
        <w:rFonts w:hint="eastAsia" w:cs="宋体" w:asciiTheme="minorEastAsia" w:hAnsiTheme="minorEastAsia" w:eastAsiaTheme="minorEastAsia"/>
        <w:color w:val="2F5597" w:themeColor="accent5" w:themeShade="BF"/>
        <w:szCs w:val="21"/>
        <w:lang w:val="en-US" w:eastAsia="zh-CN"/>
      </w:rPr>
      <w:t xml:space="preserve">                                         </w:t>
    </w:r>
    <w:r>
      <w:rPr>
        <w:rFonts w:hint="eastAsia" w:ascii="方正兰亭黑_GBK" w:hAnsi="方正兰亭黑_GBK" w:eastAsia="方正兰亭黑_GBK" w:cs="方正兰亭黑_GBK"/>
        <w:color w:val="2F5597" w:themeColor="accent5" w:themeShade="BF"/>
        <w:sz w:val="16"/>
        <w:szCs w:val="16"/>
        <w:lang w:val="en-US" w:eastAsia="zh-CN"/>
      </w:rPr>
      <w:t>公共服务平台名录</w: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  <w:r>
      <w:rPr>
        <w:rFonts w:hint="eastAsia"/>
      </w:rPr>
      <w:drawing>
        <wp:inline distT="0" distB="0" distL="0" distR="0">
          <wp:extent cx="1979930" cy="200025"/>
          <wp:effectExtent l="0" t="0" r="1270" b="9525"/>
          <wp:docPr id="3" name="图片 3" descr="C:\Users\Administrator\Desktop\成都城市机会清单2\眉头内容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成都城市机会清单2\眉头内容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000" cy="2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65"/>
  <w:drawingGridVerticalSpacing w:val="449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02829"/>
    <w:rsid w:val="00132F2A"/>
    <w:rsid w:val="001A4A38"/>
    <w:rsid w:val="001B2A9E"/>
    <w:rsid w:val="00290A08"/>
    <w:rsid w:val="002A2099"/>
    <w:rsid w:val="002E171D"/>
    <w:rsid w:val="00347712"/>
    <w:rsid w:val="00372A24"/>
    <w:rsid w:val="003739DC"/>
    <w:rsid w:val="003B32D3"/>
    <w:rsid w:val="003C212B"/>
    <w:rsid w:val="004063E0"/>
    <w:rsid w:val="0047786A"/>
    <w:rsid w:val="00487B59"/>
    <w:rsid w:val="00527D2A"/>
    <w:rsid w:val="00582698"/>
    <w:rsid w:val="005D1D27"/>
    <w:rsid w:val="00627566"/>
    <w:rsid w:val="006F28DB"/>
    <w:rsid w:val="00760894"/>
    <w:rsid w:val="00774600"/>
    <w:rsid w:val="007D1F03"/>
    <w:rsid w:val="008834C4"/>
    <w:rsid w:val="0095601F"/>
    <w:rsid w:val="00A527DF"/>
    <w:rsid w:val="00A75B9E"/>
    <w:rsid w:val="00AC2060"/>
    <w:rsid w:val="00BB2F8C"/>
    <w:rsid w:val="00BC23B0"/>
    <w:rsid w:val="00BF7DDD"/>
    <w:rsid w:val="00C2673B"/>
    <w:rsid w:val="00C84B33"/>
    <w:rsid w:val="00CD441D"/>
    <w:rsid w:val="00D8679F"/>
    <w:rsid w:val="00E1035F"/>
    <w:rsid w:val="00F72154"/>
    <w:rsid w:val="00FE1984"/>
    <w:rsid w:val="00FE3276"/>
    <w:rsid w:val="03556206"/>
    <w:rsid w:val="06D02829"/>
    <w:rsid w:val="079526A8"/>
    <w:rsid w:val="0D12570F"/>
    <w:rsid w:val="10323724"/>
    <w:rsid w:val="10F45906"/>
    <w:rsid w:val="120A1C83"/>
    <w:rsid w:val="1D311C30"/>
    <w:rsid w:val="1F3C2AB0"/>
    <w:rsid w:val="229C3DD9"/>
    <w:rsid w:val="24ED2F53"/>
    <w:rsid w:val="25F96AE4"/>
    <w:rsid w:val="286564D0"/>
    <w:rsid w:val="2BE65CDA"/>
    <w:rsid w:val="2D990003"/>
    <w:rsid w:val="2E903837"/>
    <w:rsid w:val="2FEE3B1C"/>
    <w:rsid w:val="390353A6"/>
    <w:rsid w:val="3D807A87"/>
    <w:rsid w:val="3E872969"/>
    <w:rsid w:val="3F841922"/>
    <w:rsid w:val="407967C4"/>
    <w:rsid w:val="4251616E"/>
    <w:rsid w:val="43C421DA"/>
    <w:rsid w:val="44C1668D"/>
    <w:rsid w:val="4A53224E"/>
    <w:rsid w:val="4D556A30"/>
    <w:rsid w:val="4D994E0C"/>
    <w:rsid w:val="4E4D5379"/>
    <w:rsid w:val="4F786992"/>
    <w:rsid w:val="51F429A3"/>
    <w:rsid w:val="53842295"/>
    <w:rsid w:val="53866E0C"/>
    <w:rsid w:val="552F4253"/>
    <w:rsid w:val="553E2530"/>
    <w:rsid w:val="57940107"/>
    <w:rsid w:val="5A5C7866"/>
    <w:rsid w:val="5D8B1F33"/>
    <w:rsid w:val="601D2114"/>
    <w:rsid w:val="6385096D"/>
    <w:rsid w:val="67B73FE7"/>
    <w:rsid w:val="6AFF1738"/>
    <w:rsid w:val="6DB5469F"/>
    <w:rsid w:val="6EBC5AC1"/>
    <w:rsid w:val="70802209"/>
    <w:rsid w:val="7262587C"/>
    <w:rsid w:val="727C7F59"/>
    <w:rsid w:val="73A80267"/>
    <w:rsid w:val="75167303"/>
    <w:rsid w:val="765E6FBE"/>
    <w:rsid w:val="78D75B9E"/>
    <w:rsid w:val="7A360D7B"/>
    <w:rsid w:val="7A9C747A"/>
    <w:rsid w:val="7C931B8A"/>
    <w:rsid w:val="7D260905"/>
    <w:rsid w:val="7F2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方正仿宋简体" w:cs="Times New Roman"/>
      <w:sz w:val="33"/>
      <w:szCs w:val="33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next w:val="1"/>
    <w:semiHidden/>
    <w:qFormat/>
    <w:uiPriority w:val="99"/>
    <w:rPr>
      <w:rFonts w:ascii="宋体" w:cs="宋体"/>
      <w:sz w:val="18"/>
      <w:szCs w:val="18"/>
    </w:rPr>
  </w:style>
  <w:style w:type="paragraph" w:styleId="3">
    <w:name w:val="annotation text"/>
    <w:basedOn w:val="1"/>
    <w:qFormat/>
    <w:uiPriority w:val="0"/>
  </w:style>
  <w:style w:type="paragraph" w:styleId="4">
    <w:name w:val="Body Text"/>
    <w:basedOn w:val="1"/>
    <w:qFormat/>
    <w:uiPriority w:val="99"/>
    <w:rPr>
      <w:rFonts w:ascii="宋体" w:hAnsi="宋体" w:cs="宋体"/>
      <w:sz w:val="28"/>
      <w:szCs w:val="28"/>
      <w:lang w:val="zh-CN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character" w:customStyle="1" w:styleId="14">
    <w:name w:val="批注框文本 Char"/>
    <w:basedOn w:val="12"/>
    <w:link w:val="5"/>
    <w:qFormat/>
    <w:uiPriority w:val="0"/>
    <w:rPr>
      <w:rFonts w:eastAsia="方正仿宋简体"/>
      <w:sz w:val="18"/>
      <w:szCs w:val="18"/>
    </w:rPr>
  </w:style>
  <w:style w:type="character" w:customStyle="1" w:styleId="15">
    <w:name w:val="页眉 Char"/>
    <w:basedOn w:val="12"/>
    <w:link w:val="7"/>
    <w:qFormat/>
    <w:uiPriority w:val="99"/>
    <w:rPr>
      <w:rFonts w:eastAsia="方正仿宋简体"/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rFonts w:eastAsia="方正仿宋简体"/>
      <w:sz w:val="18"/>
      <w:szCs w:val="18"/>
    </w:rPr>
  </w:style>
  <w:style w:type="paragraph" w:customStyle="1" w:styleId="17">
    <w:name w:val="BT-1"/>
    <w:basedOn w:val="1"/>
    <w:link w:val="18"/>
    <w:qFormat/>
    <w:uiPriority w:val="0"/>
    <w:pPr>
      <w:spacing w:after="224" w:afterLines="50" w:line="500" w:lineRule="exact"/>
      <w:jc w:val="center"/>
    </w:pPr>
    <w:rPr>
      <w:rFonts w:ascii="方正兰亭粗黑_GBK" w:hAnsi="宋体" w:eastAsia="方正兰亭粗黑_GBK" w:cs="宋体"/>
      <w:color w:val="2F5597" w:themeColor="accent5" w:themeShade="BF"/>
      <w:sz w:val="40"/>
      <w:szCs w:val="36"/>
    </w:rPr>
  </w:style>
  <w:style w:type="character" w:customStyle="1" w:styleId="18">
    <w:name w:val="BT-1 Char"/>
    <w:basedOn w:val="12"/>
    <w:link w:val="17"/>
    <w:qFormat/>
    <w:uiPriority w:val="0"/>
    <w:rPr>
      <w:rFonts w:ascii="方正兰亭粗黑_GBK" w:hAnsi="宋体" w:eastAsia="方正兰亭粗黑_GBK" w:cs="宋体"/>
      <w:color w:val="2F5597" w:themeColor="accent5" w:themeShade="BF"/>
      <w:sz w:val="40"/>
      <w:szCs w:val="36"/>
    </w:rPr>
  </w:style>
  <w:style w:type="character" w:customStyle="1" w:styleId="19">
    <w:name w:val="标题 Char"/>
    <w:basedOn w:val="12"/>
    <w:link w:val="9"/>
    <w:qFormat/>
    <w:uiPriority w:val="0"/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F30E35-5D6B-4462-AF14-20DD574F5C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5532</Words>
  <Characters>6733</Characters>
  <Lines>30</Lines>
  <Paragraphs>8</Paragraphs>
  <TotalTime>1</TotalTime>
  <ScaleCrop>false</ScaleCrop>
  <LinksUpToDate>false</LinksUpToDate>
  <CharactersWithSpaces>6737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2019-06-04T06:43:00Z</dcterms:created>
  <dc:creator>马克图布</dc:creator>
  <cp:lastModifiedBy>【義】</cp:lastModifiedBy>
  <cp:lastPrinted>2019-05-31T02:40:00Z</cp:lastPrinted>
  <dcterms:modified xsi:type="dcterms:W3CDTF">2019-06-07T11:24:44Z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