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jc w:val="both"/>
      </w:pPr>
    </w:p>
    <w:p>
      <w:pPr>
        <w:pStyle w:val="17"/>
        <w:jc w:val="both"/>
      </w:pPr>
    </w:p>
    <w:p>
      <w:pPr>
        <w:pStyle w:val="17"/>
        <w:jc w:val="both"/>
      </w:pPr>
    </w:p>
    <w:p>
      <w:pPr>
        <w:pStyle w:val="17"/>
        <w:jc w:val="both"/>
      </w:pPr>
    </w:p>
    <w:p>
      <w:pPr>
        <w:pStyle w:val="9"/>
        <w:rPr>
          <w:rFonts w:hint="eastAsia" w:ascii="方正兰亭粗黑简体" w:hAnsi="方正兰亭粗黑简体" w:eastAsia="方正兰亭粗黑简体" w:cs="方正兰亭粗黑简体"/>
          <w:b w:val="0"/>
          <w:color w:val="2F5597" w:themeColor="accent5" w:themeShade="BF"/>
          <w:sz w:val="72"/>
          <w:szCs w:val="72"/>
          <w:lang w:eastAsia="zh-CN"/>
        </w:rPr>
      </w:pPr>
      <w:r>
        <w:rPr>
          <w:rFonts w:hint="eastAsia" w:ascii="方正兰亭粗黑简体" w:hAnsi="方正兰亭粗黑简体" w:eastAsia="方正兰亭粗黑简体" w:cs="方正兰亭粗黑简体"/>
          <w:b w:val="0"/>
          <w:color w:val="2F5597" w:themeColor="accent5" w:themeShade="BF"/>
          <w:sz w:val="72"/>
          <w:szCs w:val="72"/>
          <w:lang w:eastAsia="zh-CN"/>
        </w:rPr>
        <w:t>公共服务平台名录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lang w:val="en-US" w:eastAsia="zh-CN"/>
        </w:rPr>
        <w:t>7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</w:rPr>
        <w:t>个细分场景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lang w:val="en-US" w:eastAsia="zh-CN"/>
        </w:rPr>
        <w:t>、12个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lang w:eastAsia="zh-CN"/>
        </w:rPr>
        <w:t>平台</w:t>
      </w: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tbl>
      <w:tblPr>
        <w:tblStyle w:val="11"/>
        <w:tblW w:w="14249" w:type="dxa"/>
        <w:tblInd w:w="108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276"/>
        <w:gridCol w:w="1438"/>
        <w:gridCol w:w="2482"/>
        <w:gridCol w:w="4159"/>
        <w:gridCol w:w="1661"/>
        <w:gridCol w:w="810"/>
        <w:gridCol w:w="1346"/>
        <w:gridCol w:w="1077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1276" w:type="dxa"/>
            <w:tcBorders>
              <w:bottom w:val="single" w:color="auto" w:sz="4" w:space="0"/>
            </w:tcBorders>
            <w:shd w:val="clear" w:color="auto" w:fill="2F5496" w:themeFill="accent5" w:themeFillShade="B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方正兰亭中黑_GBK" w:hAnsi="黑体" w:eastAsia="方正兰亭中黑_GBK"/>
                <w:color w:val="FFFFFF" w:themeColor="background1"/>
                <w:sz w:val="18"/>
                <w:szCs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方正兰亭中黑_GBK" w:hAnsi="黑体" w:eastAsia="方正兰亭中黑_GBK"/>
                <w:color w:val="FFFFFF" w:themeColor="background1"/>
                <w:sz w:val="18"/>
                <w:szCs w:val="16"/>
                <w14:textFill>
                  <w14:solidFill>
                    <w14:schemeClr w14:val="bg1"/>
                  </w14:solidFill>
                </w14:textFill>
              </w:rPr>
              <w:t>细分场景</w:t>
            </w:r>
          </w:p>
        </w:tc>
        <w:tc>
          <w:tcPr>
            <w:tcW w:w="1438" w:type="dxa"/>
            <w:tcBorders>
              <w:bottom w:val="single" w:color="auto" w:sz="4" w:space="0"/>
            </w:tcBorders>
            <w:shd w:val="clear" w:color="auto" w:fill="2F5496" w:themeFill="accent5" w:themeFillShade="B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兰亭中黑_GBK" w:hAnsi="黑体" w:eastAsia="方正兰亭中黑_GBK"/>
                <w:color w:val="FFFFFF" w:themeColor="background1"/>
                <w:sz w:val="18"/>
                <w:szCs w:val="16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方正兰亭中黑_GBK" w:hAnsi="黑体" w:eastAsia="方正兰亭中黑_GBK"/>
                <w:color w:val="FFFFFF" w:themeColor="background1"/>
                <w:sz w:val="18"/>
                <w:szCs w:val="16"/>
                <w:lang w:eastAsia="zh-CN"/>
                <w14:textFill>
                  <w14:solidFill>
                    <w14:schemeClr w14:val="bg1"/>
                  </w14:solidFill>
                </w14:textFill>
              </w:rPr>
              <w:t>平台名称</w:t>
            </w:r>
          </w:p>
        </w:tc>
        <w:tc>
          <w:tcPr>
            <w:tcW w:w="2482" w:type="dxa"/>
            <w:shd w:val="clear" w:color="auto" w:fill="2F5496" w:themeFill="accent5" w:themeFillShade="B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方正兰亭中黑_GBK" w:hAnsi="黑体" w:eastAsia="方正兰亭中黑_GBK"/>
                <w:color w:val="FFFFFF" w:themeColor="background1"/>
                <w:sz w:val="18"/>
                <w:szCs w:val="16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方正兰亭中黑_GBK" w:hAnsi="黑体" w:eastAsia="方正兰亭中黑_GBK"/>
                <w:color w:val="FFFFFF" w:themeColor="background1"/>
                <w:sz w:val="18"/>
                <w:szCs w:val="16"/>
                <w:lang w:eastAsia="zh-CN"/>
                <w14:textFill>
                  <w14:solidFill>
                    <w14:schemeClr w14:val="bg1"/>
                  </w14:solidFill>
                </w14:textFill>
              </w:rPr>
              <w:t>获取地址</w:t>
            </w:r>
            <w:r>
              <w:rPr>
                <w:rFonts w:hint="eastAsia" w:ascii="方正兰亭中黑_GBK" w:hAnsi="黑体" w:eastAsia="方正兰亭中黑_GBK"/>
                <w:color w:val="FFFFFF" w:themeColor="background1"/>
                <w:sz w:val="18"/>
                <w:szCs w:val="16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/网址</w:t>
            </w:r>
          </w:p>
        </w:tc>
        <w:tc>
          <w:tcPr>
            <w:tcW w:w="4159" w:type="dxa"/>
            <w:shd w:val="clear" w:color="auto" w:fill="2F5496" w:themeFill="accent5" w:themeFillShade="B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兰亭中黑_GBK" w:hAnsi="黑体" w:eastAsia="方正兰亭中黑_GBK"/>
                <w:color w:val="FFFFFF" w:themeColor="background1"/>
                <w:sz w:val="18"/>
                <w:szCs w:val="16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方正兰亭中黑_GBK" w:hAnsi="黑体" w:eastAsia="方正兰亭中黑_GBK"/>
                <w:color w:val="FFFFFF" w:themeColor="background1"/>
                <w:sz w:val="18"/>
                <w:szCs w:val="16"/>
                <w:lang w:eastAsia="zh-CN"/>
                <w14:textFill>
                  <w14:solidFill>
                    <w14:schemeClr w14:val="bg1"/>
                  </w14:solidFill>
                </w14:textFill>
              </w:rPr>
              <w:t>服务领域</w:t>
            </w:r>
          </w:p>
        </w:tc>
        <w:tc>
          <w:tcPr>
            <w:tcW w:w="1661" w:type="dxa"/>
            <w:shd w:val="clear" w:color="auto" w:fill="2F5496" w:themeFill="accent5" w:themeFillShade="B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兰亭中黑_GBK" w:hAnsi="黑体" w:eastAsia="方正兰亭中黑_GBK"/>
                <w:color w:val="FFFFFF" w:themeColor="background1"/>
                <w:sz w:val="18"/>
                <w:szCs w:val="16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方正兰亭中黑_GBK" w:hAnsi="黑体" w:eastAsia="方正兰亭中黑_GBK"/>
                <w:color w:val="FFFFFF" w:themeColor="background1"/>
                <w:sz w:val="18"/>
                <w:szCs w:val="16"/>
                <w:lang w:eastAsia="zh-CN"/>
                <w14:textFill>
                  <w14:solidFill>
                    <w14:schemeClr w14:val="bg1"/>
                  </w14:solidFill>
                </w14:textFill>
              </w:rPr>
              <w:t>主管单位</w:t>
            </w:r>
          </w:p>
        </w:tc>
        <w:tc>
          <w:tcPr>
            <w:tcW w:w="810" w:type="dxa"/>
            <w:shd w:val="clear" w:color="auto" w:fill="2F5496" w:themeFill="accent5" w:themeFillShade="B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方正兰亭中黑_GBK" w:hAnsi="黑体" w:eastAsia="方正兰亭中黑_GBK"/>
                <w:color w:val="FFFFFF" w:themeColor="background1"/>
                <w:sz w:val="18"/>
                <w:szCs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方正兰亭中黑_GBK" w:hAnsi="黑体" w:eastAsia="方正兰亭中黑_GBK"/>
                <w:color w:val="FFFFFF" w:themeColor="background1"/>
                <w:sz w:val="18"/>
                <w:szCs w:val="16"/>
                <w14:textFill>
                  <w14:solidFill>
                    <w14:schemeClr w14:val="bg1"/>
                  </w14:solidFill>
                </w14:textFill>
              </w:rPr>
              <w:t>联系人</w:t>
            </w:r>
          </w:p>
        </w:tc>
        <w:tc>
          <w:tcPr>
            <w:tcW w:w="1346" w:type="dxa"/>
            <w:shd w:val="clear" w:color="auto" w:fill="2F5496" w:themeFill="accent5" w:themeFillShade="B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方正兰亭中黑_GBK" w:hAnsi="黑体" w:eastAsia="方正兰亭中黑_GBK"/>
                <w:color w:val="FFFFFF" w:themeColor="background1"/>
                <w:sz w:val="18"/>
                <w:szCs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方正兰亭中黑_GBK" w:hAnsi="黑体" w:eastAsia="方正兰亭中黑_GBK"/>
                <w:color w:val="FFFFFF" w:themeColor="background1"/>
                <w:sz w:val="18"/>
                <w:szCs w:val="16"/>
                <w14:textFill>
                  <w14:solidFill>
                    <w14:schemeClr w14:val="bg1"/>
                  </w14:solidFill>
                </w14:textFill>
              </w:rPr>
              <w:t>联系方式</w:t>
            </w:r>
          </w:p>
        </w:tc>
        <w:tc>
          <w:tcPr>
            <w:tcW w:w="1077" w:type="dxa"/>
            <w:shd w:val="clear" w:color="auto" w:fill="2F5496" w:themeFill="accent5" w:themeFillShade="B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方正兰亭中黑_GBK" w:hAnsi="黑体" w:eastAsia="方正兰亭中黑_GBK"/>
                <w:color w:val="FFFFFF" w:themeColor="background1"/>
                <w:sz w:val="18"/>
                <w:szCs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方正兰亭中黑_GBK" w:hAnsi="黑体" w:eastAsia="方正兰亭中黑_GBK"/>
                <w:color w:val="FFFFFF" w:themeColor="background1"/>
                <w:sz w:val="18"/>
                <w:szCs w:val="16"/>
                <w14:textFill>
                  <w14:solidFill>
                    <w14:schemeClr w14:val="bg1"/>
                  </w14:solidFill>
                </w14:textFill>
              </w:rPr>
              <w:t>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方正兰亭中黑_GBK" w:hAnsi="黑体" w:eastAsia="方正兰亭中黑_GBK"/>
                <w:color w:val="FFFFFF" w:themeColor="background1"/>
                <w:sz w:val="18"/>
                <w:szCs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方正兰亭中黑_GBK" w:hAnsi="黑体" w:eastAsia="方正兰亭中黑_GBK"/>
                <w:color w:val="FFFFFF" w:themeColor="background1"/>
                <w:sz w:val="18"/>
                <w:szCs w:val="16"/>
                <w14:textFill>
                  <w14:solidFill>
                    <w14:schemeClr w14:val="bg1"/>
                  </w14:solidFill>
                </w14:textFill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59" w:hRule="atLeast"/>
        </w:trPr>
        <w:tc>
          <w:tcPr>
            <w:tcW w:w="1276" w:type="dxa"/>
            <w:vMerge w:val="restart"/>
            <w:tcBorders>
              <w:right w:val="single" w:color="auto" w:sz="4" w:space="0"/>
            </w:tcBorders>
            <w:shd w:val="clear" w:color="auto" w:fill="9CC2E5" w:themeFill="accent1" w:themeFillTint="9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兰亭黑_GBK" w:hAnsi="方正兰亭黑_GBK" w:eastAsia="方正兰亭黑_GBK" w:cs="方正兰亭黑_GBK"/>
                <w:sz w:val="18"/>
                <w:szCs w:val="18"/>
              </w:rPr>
            </w:pPr>
            <w:r>
              <w:rPr>
                <w:rFonts w:hint="eastAsia" w:ascii="方正兰亭黑_GBK" w:hAnsi="方正兰亭黑_GBK" w:eastAsia="方正兰亭黑_GBK" w:cs="方正兰亭黑_GBK"/>
                <w:sz w:val="18"/>
                <w:szCs w:val="18"/>
              </w:rPr>
              <w:t>人力资源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兰亭黑_GBK" w:hAnsi="方正兰亭黑_GBK" w:eastAsia="方正兰亭黑_GBK" w:cs="方正兰亭黑_GBK"/>
                <w:color w:val="000000"/>
                <w:sz w:val="18"/>
                <w:szCs w:val="18"/>
              </w:rPr>
            </w:pPr>
            <w:r>
              <w:rPr>
                <w:rFonts w:hint="eastAsia" w:ascii="方正兰亭黑_GBK" w:hAnsi="方正兰亭黑_GBK" w:eastAsia="方正兰亭黑_GBK" w:cs="方正兰亭黑_GBK"/>
                <w:color w:val="000000"/>
                <w:sz w:val="18"/>
                <w:szCs w:val="18"/>
              </w:rPr>
              <w:t>新都区就业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兰亭黑_GBK" w:hAnsi="方正兰亭黑_GBK" w:eastAsia="方正兰亭黑_GBK" w:cs="方正兰亭黑_GBK"/>
                <w:sz w:val="18"/>
                <w:szCs w:val="18"/>
              </w:rPr>
            </w:pPr>
            <w:r>
              <w:rPr>
                <w:rFonts w:hint="eastAsia" w:ascii="方正兰亭黑_GBK" w:hAnsi="方正兰亭黑_GBK" w:eastAsia="方正兰亭黑_GBK" w:cs="方正兰亭黑_GBK"/>
                <w:color w:val="000000"/>
                <w:sz w:val="18"/>
                <w:szCs w:val="18"/>
              </w:rPr>
              <w:t>创业平台</w:t>
            </w:r>
          </w:p>
        </w:tc>
        <w:tc>
          <w:tcPr>
            <w:tcW w:w="2482" w:type="dxa"/>
            <w:tcBorders>
              <w:left w:val="single" w:color="auto" w:sz="4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微信公众号：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新都区就业创业直通车</w:t>
            </w:r>
          </w:p>
        </w:tc>
        <w:tc>
          <w:tcPr>
            <w:tcW w:w="4159" w:type="dxa"/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涵盖就业创业、企业稳岗补贴、技能提升网上经办，企业用工、个人求职信息发布等</w:t>
            </w:r>
          </w:p>
        </w:tc>
        <w:tc>
          <w:tcPr>
            <w:tcW w:w="1661" w:type="dxa"/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新都区人社局</w:t>
            </w:r>
          </w:p>
        </w:tc>
        <w:tc>
          <w:tcPr>
            <w:tcW w:w="810" w:type="dxa"/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王学芳</w:t>
            </w:r>
          </w:p>
        </w:tc>
        <w:tc>
          <w:tcPr>
            <w:tcW w:w="1346" w:type="dxa"/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028-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89399301</w:t>
            </w:r>
          </w:p>
        </w:tc>
        <w:tc>
          <w:tcPr>
            <w:tcW w:w="1077" w:type="dxa"/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长期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680" w:hRule="atLeast"/>
        </w:trPr>
        <w:tc>
          <w:tcPr>
            <w:tcW w:w="1276" w:type="dxa"/>
            <w:vMerge w:val="continue"/>
            <w:tcBorders>
              <w:right w:val="single" w:color="auto" w:sz="4" w:space="0"/>
            </w:tcBorders>
            <w:shd w:val="clear" w:color="auto" w:fill="9CC2E5" w:themeFill="accent1" w:themeFillTint="9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兰亭黑_GBK" w:hAnsi="方正兰亭黑_GBK" w:eastAsia="方正兰亭黑_GBK" w:cs="方正兰亭黑_GBK"/>
                <w:sz w:val="18"/>
                <w:szCs w:val="18"/>
              </w:rPr>
            </w:pPr>
          </w:p>
        </w:tc>
        <w:tc>
          <w:tcPr>
            <w:tcW w:w="1438" w:type="dxa"/>
            <w:tcBorders>
              <w:left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兰亭黑_GBK" w:hAnsi="方正兰亭黑_GBK" w:eastAsia="方正兰亭黑_GBK" w:cs="方正兰亭黑_GBK"/>
                <w:color w:val="000000"/>
                <w:sz w:val="18"/>
                <w:szCs w:val="18"/>
              </w:rPr>
            </w:pPr>
            <w:r>
              <w:rPr>
                <w:rFonts w:hint="eastAsia" w:ascii="方正兰亭黑_GBK" w:hAnsi="方正兰亭黑_GBK" w:eastAsia="方正兰亭黑_GBK" w:cs="方正兰亭黑_GBK"/>
                <w:color w:val="000000"/>
                <w:sz w:val="18"/>
                <w:szCs w:val="18"/>
              </w:rPr>
              <w:t>中国成都人力资源服务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兰亭黑_GBK" w:hAnsi="方正兰亭黑_GBK" w:eastAsia="方正兰亭黑_GBK" w:cs="方正兰亭黑_GBK"/>
                <w:color w:val="000000"/>
                <w:sz w:val="18"/>
                <w:szCs w:val="18"/>
              </w:rPr>
            </w:pPr>
            <w:r>
              <w:rPr>
                <w:rFonts w:hint="eastAsia" w:ascii="方正兰亭黑_GBK" w:hAnsi="方正兰亭黑_GBK" w:eastAsia="方正兰亭黑_GBK" w:cs="方正兰亭黑_GBK"/>
                <w:color w:val="000000"/>
                <w:sz w:val="18"/>
                <w:szCs w:val="18"/>
              </w:rPr>
              <w:t>产业园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兰亭黑_GBK" w:hAnsi="方正兰亭黑_GBK" w:eastAsia="方正兰亭黑_GBK" w:cs="方正兰亭黑_GBK"/>
                <w:sz w:val="18"/>
                <w:szCs w:val="18"/>
              </w:rPr>
            </w:pPr>
            <w:r>
              <w:rPr>
                <w:rFonts w:hint="eastAsia" w:ascii="方正兰亭黑_GBK" w:hAnsi="方正兰亭黑_GBK" w:eastAsia="方正兰亭黑_GBK" w:cs="方正兰亭黑_GBK"/>
                <w:color w:val="000000"/>
                <w:sz w:val="18"/>
                <w:szCs w:val="18"/>
              </w:rPr>
              <w:t>（成都人才园）</w:t>
            </w:r>
          </w:p>
        </w:tc>
        <w:tc>
          <w:tcPr>
            <w:tcW w:w="2482" w:type="dxa"/>
            <w:tcBorders>
              <w:left w:val="single" w:color="auto" w:sz="4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1.微信服务号：中国成都人力资源服务产业园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2.微信订阅号：成都人才园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3.官网：中国成都人力资源服务产业园http://www.chinacdhr.com/</w:t>
            </w:r>
          </w:p>
        </w:tc>
        <w:tc>
          <w:tcPr>
            <w:tcW w:w="4159" w:type="dxa"/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为企业入驻提供公共行政服务、信息服务功能、商务服务功能、产业集聚服务功能及相关配套服务</w:t>
            </w:r>
          </w:p>
        </w:tc>
        <w:tc>
          <w:tcPr>
            <w:tcW w:w="1661" w:type="dxa"/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成都市青羊区国投建设发展有限公司</w:t>
            </w:r>
          </w:p>
        </w:tc>
        <w:tc>
          <w:tcPr>
            <w:tcW w:w="810" w:type="dxa"/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李婷</w:t>
            </w:r>
          </w:p>
        </w:tc>
        <w:tc>
          <w:tcPr>
            <w:tcW w:w="1346" w:type="dxa"/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13550342631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028-87573679</w:t>
            </w:r>
          </w:p>
        </w:tc>
        <w:tc>
          <w:tcPr>
            <w:tcW w:w="1077" w:type="dxa"/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长期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225" w:hRule="atLeast"/>
        </w:trPr>
        <w:tc>
          <w:tcPr>
            <w:tcW w:w="1276" w:type="dxa"/>
            <w:vMerge w:val="continue"/>
            <w:tcBorders>
              <w:right w:val="single" w:color="auto" w:sz="4" w:space="0"/>
            </w:tcBorders>
            <w:shd w:val="clear" w:color="auto" w:fill="9CC2E5" w:themeFill="accent1" w:themeFillTint="9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兰亭黑_GBK" w:hAnsi="方正兰亭黑_GBK" w:eastAsia="方正兰亭黑_GBK" w:cs="方正兰亭黑_GBK"/>
                <w:sz w:val="18"/>
                <w:szCs w:val="18"/>
              </w:rPr>
            </w:pPr>
          </w:p>
        </w:tc>
        <w:tc>
          <w:tcPr>
            <w:tcW w:w="1438" w:type="dxa"/>
            <w:tcBorders>
              <w:left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兰亭黑_GBK" w:hAnsi="方正兰亭黑_GBK" w:eastAsia="方正兰亭黑_GBK" w:cs="方正兰亭黑_GBK"/>
                <w:sz w:val="18"/>
                <w:szCs w:val="18"/>
              </w:rPr>
            </w:pPr>
            <w:r>
              <w:rPr>
                <w:rFonts w:hint="eastAsia" w:ascii="方正兰亭黑_GBK" w:hAnsi="方正兰亭黑_GBK" w:eastAsia="方正兰亭黑_GBK" w:cs="方正兰亭黑_GBK"/>
                <w:color w:val="000000"/>
                <w:sz w:val="18"/>
                <w:szCs w:val="18"/>
              </w:rPr>
              <w:t>成都市人才开发指引（2019）（人才白皮书）</w:t>
            </w:r>
          </w:p>
        </w:tc>
        <w:tc>
          <w:tcPr>
            <w:tcW w:w="2482" w:type="dxa"/>
            <w:tcBorders>
              <w:left w:val="single" w:color="auto" w:sz="4" w:space="0"/>
            </w:tcBorders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成都市人力资源和社会保障局（官网）-专题专栏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http://cdhrss.chengdu.gov.cn/cdrsj/index.shtml</w:t>
            </w:r>
          </w:p>
        </w:tc>
        <w:tc>
          <w:tcPr>
            <w:tcW w:w="4159" w:type="dxa"/>
            <w:shd w:val="clear" w:color="auto" w:fill="DEEBF6" w:themeFill="accent1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围绕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5+5+1”重点产业领域15个重点产业、445类需求岗位清单，重点招引包括“国际顶尖人才、国家级领军人才、地方级领军人才、高级人才、创客人才、基础人才和民间优才”七大类紧缺人才</w:t>
            </w:r>
          </w:p>
        </w:tc>
        <w:tc>
          <w:tcPr>
            <w:tcW w:w="1661" w:type="dxa"/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市人社局</w:t>
            </w:r>
          </w:p>
        </w:tc>
        <w:tc>
          <w:tcPr>
            <w:tcW w:w="810" w:type="dxa"/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邱育林</w:t>
            </w:r>
          </w:p>
        </w:tc>
        <w:tc>
          <w:tcPr>
            <w:tcW w:w="1346" w:type="dxa"/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028-61888121</w:t>
            </w:r>
          </w:p>
        </w:tc>
        <w:tc>
          <w:tcPr>
            <w:tcW w:w="1077" w:type="dxa"/>
            <w:shd w:val="clear" w:color="auto" w:fill="DEEBF6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长期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73" w:hRule="atLeast"/>
        </w:trPr>
        <w:tc>
          <w:tcPr>
            <w:tcW w:w="1276" w:type="dxa"/>
            <w:vMerge w:val="restart"/>
            <w:tcBorders>
              <w:right w:val="single" w:color="auto" w:sz="4" w:space="0"/>
            </w:tcBorders>
            <w:shd w:val="clear" w:color="auto" w:fill="FFD965" w:themeFill="accent4" w:themeFillTint="9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兰亭黑_GBK" w:hAnsi="方正兰亭黑_GBK" w:eastAsia="方正兰亭黑_GBK" w:cs="方正兰亭黑_GBK"/>
                <w:sz w:val="18"/>
                <w:szCs w:val="18"/>
              </w:rPr>
            </w:pPr>
            <w:r>
              <w:rPr>
                <w:rFonts w:hint="eastAsia" w:ascii="方正兰亭黑_GBK" w:hAnsi="方正兰亭黑_GBK" w:eastAsia="方正兰亭黑_GBK" w:cs="方正兰亭黑_GBK"/>
                <w:sz w:val="18"/>
                <w:szCs w:val="18"/>
              </w:rPr>
              <w:t>金融科技</w:t>
            </w:r>
          </w:p>
        </w:tc>
        <w:tc>
          <w:tcPr>
            <w:tcW w:w="1438" w:type="dxa"/>
            <w:tcBorders>
              <w:left w:val="single" w:color="auto" w:sz="4" w:space="0"/>
              <w:right w:val="single" w:color="auto" w:sz="4" w:space="0"/>
            </w:tcBorders>
            <w:shd w:val="clear" w:color="auto" w:fill="FFE599" w:themeFill="accent4" w:themeFillTint="6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兰亭黑_GBK" w:hAnsi="方正兰亭黑_GBK" w:eastAsia="方正兰亭黑_GBK" w:cs="方正兰亭黑_GBK"/>
                <w:sz w:val="18"/>
                <w:szCs w:val="18"/>
              </w:rPr>
            </w:pPr>
            <w:r>
              <w:rPr>
                <w:rFonts w:hint="eastAsia" w:ascii="方正兰亭黑_GBK" w:hAnsi="方正兰亭黑_GBK" w:eastAsia="方正兰亭黑_GBK" w:cs="方正兰亭黑_GBK"/>
                <w:color w:val="000000"/>
                <w:sz w:val="18"/>
                <w:szCs w:val="18"/>
              </w:rPr>
              <w:t>盈创动力科技服务平台</w:t>
            </w:r>
          </w:p>
        </w:tc>
        <w:tc>
          <w:tcPr>
            <w:tcW w:w="2482" w:type="dxa"/>
            <w:tcBorders>
              <w:left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https://www.winpow.com/</w:t>
            </w:r>
          </w:p>
        </w:tc>
        <w:tc>
          <w:tcPr>
            <w:tcW w:w="4159" w:type="dxa"/>
            <w:shd w:val="clear" w:color="auto" w:fill="FEF2CC" w:themeFill="accent4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为中小型中小企业提供债权融资服务、股权融资服务和增值服务</w:t>
            </w:r>
          </w:p>
        </w:tc>
        <w:tc>
          <w:tcPr>
            <w:tcW w:w="1661" w:type="dxa"/>
            <w:shd w:val="clear" w:color="auto" w:fill="FEF2CC" w:themeFill="accent4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成都高新投资集团有限公司</w:t>
            </w:r>
          </w:p>
        </w:tc>
        <w:tc>
          <w:tcPr>
            <w:tcW w:w="810" w:type="dxa"/>
            <w:shd w:val="clear" w:color="auto" w:fill="FEF2CC" w:themeFill="accent4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熊飞</w:t>
            </w:r>
          </w:p>
        </w:tc>
        <w:tc>
          <w:tcPr>
            <w:tcW w:w="1346" w:type="dxa"/>
            <w:shd w:val="clear" w:color="auto" w:fill="FEF2CC" w:themeFill="accent4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028-85220797</w:t>
            </w:r>
          </w:p>
        </w:tc>
        <w:tc>
          <w:tcPr>
            <w:tcW w:w="1077" w:type="dxa"/>
            <w:shd w:val="clear" w:color="auto" w:fill="FEF2CC" w:themeFill="accent4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长期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51" w:hRule="atLeast"/>
        </w:trPr>
        <w:tc>
          <w:tcPr>
            <w:tcW w:w="1276" w:type="dxa"/>
            <w:vMerge w:val="continue"/>
            <w:tcBorders>
              <w:right w:val="single" w:color="auto" w:sz="4" w:space="0"/>
            </w:tcBorders>
            <w:shd w:val="clear" w:color="auto" w:fill="FFD965" w:themeFill="accent4" w:themeFillTint="9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兰亭黑_GBK" w:hAnsi="方正兰亭黑_GBK" w:eastAsia="方正兰亭黑_GBK" w:cs="方正兰亭黑_GBK"/>
                <w:sz w:val="18"/>
                <w:szCs w:val="18"/>
              </w:rPr>
            </w:pPr>
          </w:p>
        </w:tc>
        <w:tc>
          <w:tcPr>
            <w:tcW w:w="1438" w:type="dxa"/>
            <w:tcBorders>
              <w:left w:val="single" w:color="auto" w:sz="4" w:space="0"/>
              <w:right w:val="single" w:color="auto" w:sz="4" w:space="0"/>
            </w:tcBorders>
            <w:shd w:val="clear" w:color="auto" w:fill="FFE599" w:themeFill="accent4" w:themeFillTint="6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兰亭黑_GBK" w:hAnsi="方正兰亭黑_GBK" w:eastAsia="方正兰亭黑_GBK" w:cs="方正兰亭黑_GBK"/>
                <w:color w:val="000000"/>
                <w:sz w:val="18"/>
                <w:szCs w:val="18"/>
              </w:rPr>
            </w:pPr>
            <w:r>
              <w:rPr>
                <w:rFonts w:hint="eastAsia" w:ascii="方正兰亭黑_GBK" w:hAnsi="方正兰亭黑_GBK" w:eastAsia="方正兰亭黑_GBK" w:cs="方正兰亭黑_GBK"/>
                <w:color w:val="000000"/>
                <w:sz w:val="18"/>
                <w:szCs w:val="18"/>
              </w:rPr>
              <w:t>创富天府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兰亭黑_GBK" w:hAnsi="方正兰亭黑_GBK" w:eastAsia="方正兰亭黑_GBK" w:cs="方正兰亭黑_GBK"/>
                <w:sz w:val="18"/>
                <w:szCs w:val="18"/>
              </w:rPr>
            </w:pPr>
            <w:r>
              <w:rPr>
                <w:rFonts w:hint="eastAsia" w:ascii="方正兰亭黑_GBK" w:hAnsi="方正兰亭黑_GBK" w:eastAsia="方正兰亭黑_GBK" w:cs="方正兰亭黑_GBK"/>
                <w:color w:val="000000"/>
                <w:sz w:val="18"/>
                <w:szCs w:val="18"/>
              </w:rPr>
              <w:t>平台</w:t>
            </w:r>
          </w:p>
        </w:tc>
        <w:tc>
          <w:tcPr>
            <w:tcW w:w="2482" w:type="dxa"/>
            <w:tcBorders>
              <w:left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微信公众号：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天府国际基金小镇</w:t>
            </w:r>
          </w:p>
        </w:tc>
        <w:tc>
          <w:tcPr>
            <w:tcW w:w="4159" w:type="dxa"/>
            <w:shd w:val="clear" w:color="auto" w:fill="FEF2CC" w:themeFill="accent4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小镇最新政策、服务、机构入驻等信息；发布小镇最新动态、活动安排；传递行业最新咨询</w:t>
            </w:r>
          </w:p>
        </w:tc>
        <w:tc>
          <w:tcPr>
            <w:tcW w:w="1661" w:type="dxa"/>
            <w:shd w:val="clear" w:color="auto" w:fill="FEF2CC" w:themeFill="accent4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天府国际基金小镇</w:t>
            </w:r>
          </w:p>
        </w:tc>
        <w:tc>
          <w:tcPr>
            <w:tcW w:w="810" w:type="dxa"/>
            <w:shd w:val="clear" w:color="auto" w:fill="FEF2CC" w:themeFill="accent4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闫冬寅</w:t>
            </w:r>
          </w:p>
        </w:tc>
        <w:tc>
          <w:tcPr>
            <w:tcW w:w="1346" w:type="dxa"/>
            <w:shd w:val="clear" w:color="auto" w:fill="FEF2CC" w:themeFill="accent4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15882208814</w:t>
            </w:r>
          </w:p>
        </w:tc>
        <w:tc>
          <w:tcPr>
            <w:tcW w:w="1077" w:type="dxa"/>
            <w:shd w:val="clear" w:color="auto" w:fill="FEF2CC" w:themeFill="accent4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长期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314" w:hRule="atLeast"/>
        </w:trPr>
        <w:tc>
          <w:tcPr>
            <w:tcW w:w="1276" w:type="dxa"/>
            <w:vMerge w:val="restart"/>
            <w:tcBorders>
              <w:right w:val="single" w:color="auto" w:sz="4" w:space="0"/>
            </w:tcBorders>
            <w:shd w:val="clear" w:color="auto" w:fill="A8D08D" w:themeFill="accent6" w:themeFillTint="9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兰亭黑_GBK" w:hAnsi="方正兰亭黑_GBK" w:eastAsia="方正兰亭黑_GBK" w:cs="方正兰亭黑_GBK"/>
                <w:sz w:val="18"/>
                <w:szCs w:val="18"/>
              </w:rPr>
            </w:pPr>
            <w:r>
              <w:rPr>
                <w:rFonts w:hint="eastAsia" w:ascii="方正兰亭黑_GBK" w:hAnsi="方正兰亭黑_GBK" w:eastAsia="方正兰亭黑_GBK" w:cs="方正兰亭黑_GBK"/>
                <w:sz w:val="18"/>
                <w:szCs w:val="18"/>
              </w:rPr>
              <w:t>医疗健康</w:t>
            </w:r>
          </w:p>
        </w:tc>
        <w:tc>
          <w:tcPr>
            <w:tcW w:w="14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兰亭黑_GBK" w:hAnsi="方正兰亭黑_GBK" w:eastAsia="方正兰亭黑_GBK" w:cs="方正兰亭黑_GBK"/>
                <w:color w:val="000000"/>
                <w:sz w:val="18"/>
                <w:szCs w:val="18"/>
              </w:rPr>
            </w:pPr>
            <w:r>
              <w:rPr>
                <w:rFonts w:hint="eastAsia" w:ascii="方正兰亭黑_GBK" w:hAnsi="方正兰亭黑_GBK" w:eastAsia="方正兰亭黑_GBK" w:cs="方正兰亭黑_GBK"/>
                <w:color w:val="000000"/>
                <w:sz w:val="18"/>
                <w:szCs w:val="18"/>
              </w:rPr>
              <w:t>天府企业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兰亭黑_GBK" w:hAnsi="方正兰亭黑_GBK" w:eastAsia="方正兰亭黑_GBK" w:cs="方正兰亭黑_GBK"/>
                <w:sz w:val="18"/>
                <w:szCs w:val="18"/>
              </w:rPr>
            </w:pPr>
            <w:r>
              <w:rPr>
                <w:rFonts w:hint="eastAsia" w:ascii="方正兰亭黑_GBK" w:hAnsi="方正兰亭黑_GBK" w:eastAsia="方正兰亭黑_GBK" w:cs="方正兰亭黑_GBK"/>
                <w:color w:val="000000"/>
                <w:sz w:val="18"/>
                <w:szCs w:val="18"/>
              </w:rPr>
              <w:t>生命中心</w:t>
            </w:r>
          </w:p>
        </w:tc>
        <w:tc>
          <w:tcPr>
            <w:tcW w:w="2482" w:type="dxa"/>
            <w:tcBorders>
              <w:lef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instrText xml:space="preserve"> HYPERLINK "http://www.tfqysmzx.com/" </w:instrTex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http://www.tfqysmzx.com/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fldChar w:fldCharType="end"/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微信公众号：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天府企业生命中心</w:t>
            </w:r>
          </w:p>
        </w:tc>
        <w:tc>
          <w:tcPr>
            <w:tcW w:w="4159" w:type="dxa"/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针对企业发展的不同阶段，提供利于企业发展的靶向服务，从工商注册、项目投资、项目运行、人才引进、团队建设、资金管理、技术研发、产品投入市场</w:t>
            </w:r>
          </w:p>
        </w:tc>
        <w:tc>
          <w:tcPr>
            <w:tcW w:w="1661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成都双流创新创业企业服务有限公司</w:t>
            </w:r>
          </w:p>
        </w:tc>
        <w:tc>
          <w:tcPr>
            <w:tcW w:w="810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周平</w:t>
            </w:r>
          </w:p>
        </w:tc>
        <w:tc>
          <w:tcPr>
            <w:tcW w:w="1346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15281028314</w:t>
            </w:r>
          </w:p>
        </w:tc>
        <w:tc>
          <w:tcPr>
            <w:tcW w:w="1077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长期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213" w:hRule="atLeast"/>
        </w:trPr>
        <w:tc>
          <w:tcPr>
            <w:tcW w:w="1276" w:type="dxa"/>
            <w:vMerge w:val="continue"/>
            <w:shd w:val="clear" w:color="auto" w:fill="A8D08D" w:themeFill="accent6" w:themeFillTint="9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兰亭黑_GBK" w:hAnsi="方正兰亭黑_GBK" w:eastAsia="方正兰亭黑_GBK" w:cs="方正兰亭黑_GBK"/>
                <w:sz w:val="18"/>
                <w:szCs w:val="18"/>
              </w:rPr>
            </w:pPr>
          </w:p>
        </w:tc>
        <w:tc>
          <w:tcPr>
            <w:tcW w:w="1438" w:type="dxa"/>
            <w:shd w:val="clear" w:color="auto" w:fill="C5E0B3" w:themeFill="accent6" w:themeFillTint="6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兰亭黑_GBK" w:hAnsi="方正兰亭黑_GBK" w:eastAsia="方正兰亭黑_GBK" w:cs="方正兰亭黑_GBK"/>
                <w:color w:val="000000"/>
                <w:sz w:val="18"/>
                <w:szCs w:val="18"/>
              </w:rPr>
            </w:pPr>
            <w:r>
              <w:rPr>
                <w:rFonts w:hint="eastAsia" w:ascii="方正兰亭黑_GBK" w:hAnsi="方正兰亭黑_GBK" w:eastAsia="方正兰亭黑_GBK" w:cs="方正兰亭黑_GBK"/>
                <w:color w:val="000000"/>
                <w:sz w:val="18"/>
                <w:szCs w:val="18"/>
              </w:rPr>
              <w:t>中药材天地网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兰亭黑_GBK" w:hAnsi="方正兰亭黑_GBK" w:eastAsia="方正兰亭黑_GBK" w:cs="方正兰亭黑_GBK"/>
                <w:sz w:val="18"/>
                <w:szCs w:val="18"/>
              </w:rPr>
            </w:pPr>
            <w:r>
              <w:rPr>
                <w:rFonts w:hint="eastAsia" w:ascii="方正兰亭黑_GBK" w:hAnsi="方正兰亭黑_GBK" w:eastAsia="方正兰亭黑_GBK" w:cs="方正兰亭黑_GBK"/>
                <w:color w:val="000000"/>
                <w:sz w:val="18"/>
                <w:szCs w:val="18"/>
              </w:rPr>
              <w:t>（中国药材产</w:t>
            </w:r>
            <w:r>
              <w:rPr>
                <w:rFonts w:hint="eastAsia" w:ascii="方正兰亭黑_GBK" w:hAnsi="方正兰亭黑_GBK" w:eastAsia="方正兰亭黑_GBK" w:cs="方正兰亭黑_GBK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方正兰亭黑_GBK" w:hAnsi="方正兰亭黑_GBK" w:eastAsia="方正兰亭黑_GBK" w:cs="方正兰亭黑_GBK"/>
                <w:color w:val="000000"/>
                <w:sz w:val="18"/>
                <w:szCs w:val="18"/>
              </w:rPr>
              <w:t>业信息门户）</w:t>
            </w:r>
          </w:p>
        </w:tc>
        <w:tc>
          <w:tcPr>
            <w:tcW w:w="2482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instrText xml:space="preserve"> HYPERLINK "http://www.zyctd.com/" \t "_blank" </w:instrTex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www.zyctd.com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159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18"/>
                <w:szCs w:val="18"/>
                <w:shd w:val="clear" w:color="auto" w:fill="FFFFFF"/>
              </w:rPr>
              <w:t>中药材产业信息门户和产业链服务商，集中药材信息采集传播、中药材商品网上供需交易和网下物流服务、中药材行业咨询</w:t>
            </w:r>
          </w:p>
        </w:tc>
        <w:tc>
          <w:tcPr>
            <w:tcW w:w="1661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成都天地网信息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科技有限公司</w:t>
            </w:r>
          </w:p>
        </w:tc>
        <w:tc>
          <w:tcPr>
            <w:tcW w:w="810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余佳</w:t>
            </w:r>
          </w:p>
        </w:tc>
        <w:tc>
          <w:tcPr>
            <w:tcW w:w="1346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13880713441</w:t>
            </w:r>
          </w:p>
        </w:tc>
        <w:tc>
          <w:tcPr>
            <w:tcW w:w="1077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长期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009" w:hRule="atLeast"/>
        </w:trPr>
        <w:tc>
          <w:tcPr>
            <w:tcW w:w="1276" w:type="dxa"/>
            <w:shd w:val="clear" w:color="auto" w:fill="A8D08D" w:themeFill="accent6" w:themeFillTint="9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兰亭黑_GBK" w:hAnsi="方正兰亭黑_GBK" w:eastAsia="方正兰亭黑_GBK" w:cs="方正兰亭黑_GBK"/>
                <w:sz w:val="18"/>
                <w:szCs w:val="18"/>
              </w:rPr>
            </w:pPr>
            <w:r>
              <w:rPr>
                <w:rFonts w:hint="eastAsia" w:ascii="方正兰亭黑_GBK" w:hAnsi="方正兰亭黑_GBK" w:eastAsia="方正兰亭黑_GBK" w:cs="方正兰亭黑_GBK"/>
                <w:sz w:val="18"/>
                <w:szCs w:val="18"/>
              </w:rPr>
              <w:t>供应链</w:t>
            </w:r>
          </w:p>
        </w:tc>
        <w:tc>
          <w:tcPr>
            <w:tcW w:w="1438" w:type="dxa"/>
            <w:shd w:val="clear" w:color="auto" w:fill="C5E0B3" w:themeFill="accent6" w:themeFillTint="6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兰亭黑_GBK" w:hAnsi="方正兰亭黑_GBK" w:eastAsia="方正兰亭黑_GBK" w:cs="方正兰亭黑_GBK"/>
                <w:sz w:val="18"/>
                <w:szCs w:val="18"/>
              </w:rPr>
            </w:pPr>
            <w:r>
              <w:rPr>
                <w:rFonts w:hint="eastAsia" w:ascii="方正兰亭黑_GBK" w:hAnsi="方正兰亭黑_GBK" w:eastAsia="方正兰亭黑_GBK" w:cs="方正兰亭黑_GBK"/>
                <w:color w:val="000000"/>
                <w:sz w:val="18"/>
                <w:szCs w:val="18"/>
              </w:rPr>
              <w:t>大宗商品全产业链服务平台</w:t>
            </w:r>
          </w:p>
        </w:tc>
        <w:tc>
          <w:tcPr>
            <w:tcW w:w="2482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instrText xml:space="preserve"> HYPERLINK "http://www.jwell56.com/" </w:instrTex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http://www.jwell56.com/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fldChar w:fldCharType="end"/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微信公众号：积微物联</w:t>
            </w:r>
          </w:p>
        </w:tc>
        <w:tc>
          <w:tcPr>
            <w:tcW w:w="4159" w:type="dxa"/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提供钢铁、钒钛、化工等大宗商品的在线交易、支付结算、智能仓储、智慧物流、高端加工、供应链金融、跨境贸易、资讯技术、商务配套等一站式服务和整体解决方案</w:t>
            </w:r>
          </w:p>
        </w:tc>
        <w:tc>
          <w:tcPr>
            <w:tcW w:w="1661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成都积微物联集团股份有限公司</w:t>
            </w:r>
          </w:p>
        </w:tc>
        <w:tc>
          <w:tcPr>
            <w:tcW w:w="810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张佳玲</w:t>
            </w:r>
          </w:p>
        </w:tc>
        <w:tc>
          <w:tcPr>
            <w:tcW w:w="1346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13547825749</w:t>
            </w:r>
          </w:p>
        </w:tc>
        <w:tc>
          <w:tcPr>
            <w:tcW w:w="1077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长期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049" w:hRule="atLeast"/>
        </w:trPr>
        <w:tc>
          <w:tcPr>
            <w:tcW w:w="1276" w:type="dxa"/>
            <w:vMerge w:val="restart"/>
            <w:shd w:val="clear" w:color="auto" w:fill="F4B083" w:themeFill="accent2" w:themeFillTint="9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兰亭黑_GBK" w:hAnsi="方正兰亭黑_GBK" w:eastAsia="方正兰亭黑_GBK" w:cs="方正兰亭黑_GBK"/>
                <w:sz w:val="18"/>
                <w:szCs w:val="18"/>
              </w:rPr>
            </w:pPr>
            <w:r>
              <w:rPr>
                <w:rFonts w:hint="eastAsia" w:ascii="方正兰亭黑_GBK" w:hAnsi="方正兰亭黑_GBK" w:eastAsia="方正兰亭黑_GBK" w:cs="方正兰亭黑_GBK"/>
                <w:sz w:val="18"/>
                <w:szCs w:val="18"/>
              </w:rPr>
              <w:t>数据开放</w:t>
            </w:r>
          </w:p>
        </w:tc>
        <w:tc>
          <w:tcPr>
            <w:tcW w:w="1438" w:type="dxa"/>
            <w:shd w:val="clear" w:color="auto" w:fill="F7CAAC" w:themeFill="accent2" w:themeFillTint="6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兰亭黑_GBK" w:hAnsi="方正兰亭黑_GBK" w:eastAsia="方正兰亭黑_GBK" w:cs="方正兰亭黑_GBK"/>
                <w:color w:val="000000"/>
                <w:sz w:val="18"/>
                <w:szCs w:val="18"/>
              </w:rPr>
            </w:pPr>
            <w:r>
              <w:rPr>
                <w:rFonts w:hint="eastAsia" w:ascii="方正兰亭黑_GBK" w:hAnsi="方正兰亭黑_GBK" w:eastAsia="方正兰亭黑_GBK" w:cs="方正兰亭黑_GBK"/>
                <w:color w:val="000000"/>
                <w:sz w:val="18"/>
                <w:szCs w:val="18"/>
              </w:rPr>
              <w:t>成都公共数据开放平台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兰亭黑_GBK" w:hAnsi="方正兰亭黑_GBK" w:eastAsia="方正兰亭黑_GBK" w:cs="方正兰亭黑_GBK"/>
                <w:sz w:val="18"/>
                <w:szCs w:val="18"/>
              </w:rPr>
            </w:pPr>
            <w:r>
              <w:rPr>
                <w:rFonts w:hint="eastAsia" w:ascii="方正兰亭黑_GBK" w:hAnsi="方正兰亭黑_GBK" w:eastAsia="方正兰亭黑_GBK" w:cs="方正兰亭黑_GBK"/>
                <w:color w:val="000000"/>
                <w:sz w:val="18"/>
                <w:szCs w:val="18"/>
              </w:rPr>
              <w:t>（龙泉驿区）</w:t>
            </w:r>
          </w:p>
        </w:tc>
        <w:tc>
          <w:tcPr>
            <w:tcW w:w="2482" w:type="dxa"/>
            <w:shd w:val="clear" w:color="auto" w:fill="FBE5D6" w:themeFill="accent2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www.cddata.gov.cn</w:t>
            </w:r>
          </w:p>
        </w:tc>
        <w:tc>
          <w:tcPr>
            <w:tcW w:w="4159" w:type="dxa"/>
            <w:shd w:val="clear" w:color="auto" w:fill="FBE5D6" w:themeFill="accent2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提供成都市政务部门可开放的各类数据的下载与服务</w:t>
            </w:r>
          </w:p>
        </w:tc>
        <w:tc>
          <w:tcPr>
            <w:tcW w:w="1661" w:type="dxa"/>
            <w:shd w:val="clear" w:color="auto" w:fill="FBE5D6" w:themeFill="accent2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成都市龙泉驿区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行政审批局</w:t>
            </w:r>
          </w:p>
        </w:tc>
        <w:tc>
          <w:tcPr>
            <w:tcW w:w="810" w:type="dxa"/>
            <w:shd w:val="clear" w:color="auto" w:fill="FBE5D6" w:themeFill="accent2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孙奎</w:t>
            </w:r>
          </w:p>
        </w:tc>
        <w:tc>
          <w:tcPr>
            <w:tcW w:w="1346" w:type="dxa"/>
            <w:shd w:val="clear" w:color="auto" w:fill="FBE5D6" w:themeFill="accent2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02888450910</w:t>
            </w:r>
          </w:p>
        </w:tc>
        <w:tc>
          <w:tcPr>
            <w:tcW w:w="1077" w:type="dxa"/>
            <w:shd w:val="clear" w:color="auto" w:fill="FBE5D6" w:themeFill="accent2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.6-12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003" w:hRule="atLeast"/>
        </w:trPr>
        <w:tc>
          <w:tcPr>
            <w:tcW w:w="1276" w:type="dxa"/>
            <w:vMerge w:val="continue"/>
            <w:shd w:val="clear" w:color="auto" w:fill="F4B083" w:themeFill="accent2" w:themeFillTint="9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兰亭黑_GBK" w:hAnsi="方正兰亭黑_GBK" w:eastAsia="方正兰亭黑_GBK" w:cs="方正兰亭黑_GBK"/>
                <w:sz w:val="18"/>
                <w:szCs w:val="18"/>
              </w:rPr>
            </w:pPr>
          </w:p>
        </w:tc>
        <w:tc>
          <w:tcPr>
            <w:tcW w:w="1438" w:type="dxa"/>
            <w:shd w:val="clear" w:color="auto" w:fill="F7CAAC" w:themeFill="accent2" w:themeFillTint="6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兰亭黑_GBK" w:hAnsi="方正兰亭黑_GBK" w:eastAsia="方正兰亭黑_GBK" w:cs="方正兰亭黑_GBK"/>
                <w:sz w:val="18"/>
                <w:szCs w:val="18"/>
              </w:rPr>
            </w:pPr>
            <w:r>
              <w:rPr>
                <w:rFonts w:hint="eastAsia" w:ascii="方正兰亭黑_GBK" w:hAnsi="方正兰亭黑_GBK" w:eastAsia="方正兰亭黑_GBK" w:cs="方正兰亭黑_GBK"/>
                <w:color w:val="000000"/>
                <w:sz w:val="18"/>
                <w:szCs w:val="18"/>
              </w:rPr>
              <w:t>农村土地交易服务平台</w:t>
            </w:r>
          </w:p>
        </w:tc>
        <w:tc>
          <w:tcPr>
            <w:tcW w:w="2482" w:type="dxa"/>
            <w:shd w:val="clear" w:color="auto" w:fill="FBE5D6" w:themeFill="accent2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https://www.cdaee.com/</w:t>
            </w:r>
          </w:p>
        </w:tc>
        <w:tc>
          <w:tcPr>
            <w:tcW w:w="4159" w:type="dxa"/>
            <w:shd w:val="clear" w:color="auto" w:fill="FBE5D6" w:themeFill="accent2" w:themeFillTint="32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  <w:t>为各类农村产权流转交易提供服务</w:t>
            </w:r>
          </w:p>
        </w:tc>
        <w:tc>
          <w:tcPr>
            <w:tcW w:w="1661" w:type="dxa"/>
            <w:shd w:val="clear" w:color="auto" w:fill="FBE5D6" w:themeFill="accent2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成都农村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产权交易所</w:t>
            </w:r>
          </w:p>
        </w:tc>
        <w:tc>
          <w:tcPr>
            <w:tcW w:w="810" w:type="dxa"/>
            <w:shd w:val="clear" w:color="auto" w:fill="FBE5D6" w:themeFill="accent2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陈伶俐</w:t>
            </w:r>
          </w:p>
        </w:tc>
        <w:tc>
          <w:tcPr>
            <w:tcW w:w="1346" w:type="dxa"/>
            <w:shd w:val="clear" w:color="auto" w:fill="FBE5D6" w:themeFill="accent2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028-85987198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13880846432</w:t>
            </w:r>
          </w:p>
        </w:tc>
        <w:tc>
          <w:tcPr>
            <w:tcW w:w="1077" w:type="dxa"/>
            <w:shd w:val="clear" w:color="auto" w:fill="FBE5D6" w:themeFill="accent2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长期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048" w:hRule="atLeast"/>
        </w:trPr>
        <w:tc>
          <w:tcPr>
            <w:tcW w:w="1276" w:type="dxa"/>
            <w:shd w:val="clear" w:color="auto" w:fill="F4B083" w:themeFill="accent2" w:themeFillTint="9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兰亭黑_GBK" w:hAnsi="方正兰亭黑_GBK" w:eastAsia="方正兰亭黑_GBK" w:cs="方正兰亭黑_GBK"/>
                <w:sz w:val="18"/>
                <w:szCs w:val="18"/>
              </w:rPr>
            </w:pPr>
            <w:r>
              <w:rPr>
                <w:rFonts w:hint="eastAsia" w:ascii="方正兰亭黑_GBK" w:hAnsi="方正兰亭黑_GBK" w:eastAsia="方正兰亭黑_GBK" w:cs="方正兰亭黑_GBK"/>
                <w:sz w:val="18"/>
                <w:szCs w:val="18"/>
              </w:rPr>
              <w:t>政策发布</w:t>
            </w:r>
          </w:p>
        </w:tc>
        <w:tc>
          <w:tcPr>
            <w:tcW w:w="1438" w:type="dxa"/>
            <w:shd w:val="clear" w:color="auto" w:fill="F7CAAC" w:themeFill="accent2" w:themeFillTint="6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兰亭黑_GBK" w:hAnsi="方正兰亭黑_GBK" w:eastAsia="方正兰亭黑_GBK" w:cs="方正兰亭黑_GBK"/>
                <w:color w:val="000000"/>
                <w:sz w:val="18"/>
                <w:szCs w:val="18"/>
              </w:rPr>
            </w:pPr>
            <w:r>
              <w:rPr>
                <w:rFonts w:hint="eastAsia" w:ascii="方正兰亭黑_GBK" w:hAnsi="方正兰亭黑_GBK" w:eastAsia="方正兰亭黑_GBK" w:cs="方正兰亭黑_GBK"/>
                <w:color w:val="000000"/>
                <w:sz w:val="18"/>
                <w:szCs w:val="18"/>
              </w:rPr>
              <w:t>成都工业和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兰亭黑_GBK" w:hAnsi="方正兰亭黑_GBK" w:eastAsia="方正兰亭黑_GBK" w:cs="方正兰亭黑_GBK"/>
                <w:sz w:val="18"/>
                <w:szCs w:val="18"/>
              </w:rPr>
            </w:pPr>
            <w:r>
              <w:rPr>
                <w:rFonts w:hint="eastAsia" w:ascii="方正兰亭黑_GBK" w:hAnsi="方正兰亭黑_GBK" w:eastAsia="方正兰亭黑_GBK" w:cs="方正兰亭黑_GBK"/>
                <w:color w:val="000000"/>
                <w:sz w:val="18"/>
                <w:szCs w:val="18"/>
              </w:rPr>
              <w:t>信息化</w:t>
            </w:r>
          </w:p>
        </w:tc>
        <w:tc>
          <w:tcPr>
            <w:tcW w:w="2482" w:type="dxa"/>
            <w:shd w:val="clear" w:color="auto" w:fill="FBE5D6" w:themeFill="accent2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微信公众号：CDSJXW</w:t>
            </w:r>
          </w:p>
        </w:tc>
        <w:tc>
          <w:tcPr>
            <w:tcW w:w="4159" w:type="dxa"/>
            <w:shd w:val="clear" w:color="auto" w:fill="FBE5D6" w:themeFill="accent2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推送工业经济和信息化工作动态，解读产业发展政策，为产业发展服务</w:t>
            </w:r>
          </w:p>
        </w:tc>
        <w:tc>
          <w:tcPr>
            <w:tcW w:w="1661" w:type="dxa"/>
            <w:shd w:val="clear" w:color="auto" w:fill="FBE5D6" w:themeFill="accent2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市经信局</w:t>
            </w:r>
          </w:p>
        </w:tc>
        <w:tc>
          <w:tcPr>
            <w:tcW w:w="810" w:type="dxa"/>
            <w:shd w:val="clear" w:color="auto" w:fill="FBE5D6" w:themeFill="accent2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李老师</w:t>
            </w:r>
          </w:p>
        </w:tc>
        <w:tc>
          <w:tcPr>
            <w:tcW w:w="1346" w:type="dxa"/>
            <w:shd w:val="clear" w:color="auto" w:fill="FBE5D6" w:themeFill="accent2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61881593</w:t>
            </w:r>
          </w:p>
        </w:tc>
        <w:tc>
          <w:tcPr>
            <w:tcW w:w="1077" w:type="dxa"/>
            <w:shd w:val="clear" w:color="auto" w:fill="FBE5D6" w:themeFill="accent2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长期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164" w:hRule="atLeast"/>
        </w:trPr>
        <w:tc>
          <w:tcPr>
            <w:tcW w:w="1276" w:type="dxa"/>
            <w:shd w:val="clear" w:color="auto" w:fill="F4B083" w:themeFill="accent2" w:themeFillTint="9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兰亭黑_GBK" w:hAnsi="方正兰亭黑_GBK" w:eastAsia="方正兰亭黑_GBK" w:cs="方正兰亭黑_GBK"/>
                <w:sz w:val="18"/>
                <w:szCs w:val="18"/>
              </w:rPr>
            </w:pPr>
            <w:r>
              <w:rPr>
                <w:rFonts w:hint="eastAsia" w:ascii="方正兰亭黑_GBK" w:hAnsi="方正兰亭黑_GBK" w:eastAsia="方正兰亭黑_GBK" w:cs="方正兰亭黑_GBK"/>
                <w:sz w:val="18"/>
                <w:szCs w:val="18"/>
              </w:rPr>
              <w:t>文化创意</w:t>
            </w:r>
          </w:p>
        </w:tc>
        <w:tc>
          <w:tcPr>
            <w:tcW w:w="1438" w:type="dxa"/>
            <w:shd w:val="clear" w:color="auto" w:fill="F7CAAC" w:themeFill="accent2" w:themeFillTint="6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兰亭黑_GBK" w:hAnsi="方正兰亭黑_GBK" w:eastAsia="方正兰亭黑_GBK" w:cs="方正兰亭黑_GBK"/>
                <w:color w:val="000000"/>
                <w:sz w:val="18"/>
                <w:szCs w:val="18"/>
              </w:rPr>
            </w:pPr>
            <w:r>
              <w:rPr>
                <w:rFonts w:hint="eastAsia" w:ascii="方正兰亭黑_GBK" w:hAnsi="方正兰亭黑_GBK" w:eastAsia="方正兰亭黑_GBK" w:cs="方正兰亭黑_GBK"/>
                <w:color w:val="000000"/>
                <w:sz w:val="18"/>
                <w:szCs w:val="18"/>
              </w:rPr>
              <w:t>成都市文创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兰亭黑_GBK" w:hAnsi="方正兰亭黑_GBK" w:eastAsia="方正兰亭黑_GBK" w:cs="方正兰亭黑_GBK"/>
                <w:sz w:val="18"/>
                <w:szCs w:val="18"/>
              </w:rPr>
            </w:pPr>
            <w:r>
              <w:rPr>
                <w:rFonts w:hint="eastAsia" w:ascii="方正兰亭黑_GBK" w:hAnsi="方正兰亭黑_GBK" w:eastAsia="方正兰亭黑_GBK" w:cs="方正兰亭黑_GBK"/>
                <w:color w:val="000000"/>
                <w:sz w:val="18"/>
                <w:szCs w:val="18"/>
              </w:rPr>
              <w:t>产业公共服务平台</w:t>
            </w:r>
          </w:p>
        </w:tc>
        <w:tc>
          <w:tcPr>
            <w:tcW w:w="2482" w:type="dxa"/>
            <w:shd w:val="clear" w:color="auto" w:fill="FBE5D6" w:themeFill="accent2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http://cdwc.cdwglj.chengdu.gov.cn/</w:t>
            </w:r>
          </w:p>
        </w:tc>
        <w:tc>
          <w:tcPr>
            <w:tcW w:w="4159" w:type="dxa"/>
            <w:shd w:val="clear" w:color="auto" w:fill="FBE5D6" w:themeFill="accent2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文创信息服务、文创金融服务、文创消费服务、文创统计服务</w:t>
            </w:r>
          </w:p>
        </w:tc>
        <w:tc>
          <w:tcPr>
            <w:tcW w:w="1661" w:type="dxa"/>
            <w:shd w:val="clear" w:color="auto" w:fill="FBE5D6" w:themeFill="accent2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市文广旅局</w:t>
            </w:r>
          </w:p>
        </w:tc>
        <w:tc>
          <w:tcPr>
            <w:tcW w:w="810" w:type="dxa"/>
            <w:shd w:val="clear" w:color="auto" w:fill="FBE5D6" w:themeFill="accent2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薛继业</w:t>
            </w:r>
          </w:p>
        </w:tc>
        <w:tc>
          <w:tcPr>
            <w:tcW w:w="1346" w:type="dxa"/>
            <w:shd w:val="clear" w:color="auto" w:fill="FBE5D6" w:themeFill="accent2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028-61882968</w:t>
            </w:r>
          </w:p>
        </w:tc>
        <w:tc>
          <w:tcPr>
            <w:tcW w:w="1077" w:type="dxa"/>
            <w:shd w:val="clear" w:color="auto" w:fill="FBE5D6" w:themeFill="accent2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2019.6-12</w:t>
            </w:r>
          </w:p>
        </w:tc>
      </w:tr>
    </w:tbl>
    <w:p>
      <w:pPr>
        <w:rPr>
          <w:rFonts w:hint="eastAsia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6500" w:h="12247" w:orient="landscape"/>
      <w:pgMar w:top="1134" w:right="1134" w:bottom="1134" w:left="1134" w:header="567" w:footer="567" w:gutter="0"/>
      <w:pgNumType w:fmt="decimal" w:start="104"/>
      <w:cols w:space="425" w:num="1"/>
      <w:docGrid w:type="lines" w:linePitch="44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Sazanami Mincho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azanami Mincho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zanami Mincho">
    <w:panose1 w:val="02000009000000000000"/>
    <w:charset w:val="80"/>
    <w:family w:val="auto"/>
    <w:pitch w:val="default"/>
    <w:sig w:usb0="A00002BF" w:usb1="68C7FCFB" w:usb2="00000010" w:usb3="00000000" w:csb0="8002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方正兰亭粗黑_GBK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兰亭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兰亭中黑_GBK">
    <w:panose1 w:val="02000000000000000000"/>
    <w:charset w:val="86"/>
    <w:family w:val="auto"/>
    <w:pitch w:val="default"/>
    <w:sig w:usb0="800002BF" w:usb1="38CF7CFA" w:usb2="00082016" w:usb3="00000000" w:csb0="00040000" w:csb1="00000000"/>
  </w:font>
  <w:font w:name="方正兰亭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imes LT Std Semibold">
    <w:panose1 w:val="02020703080505020304"/>
    <w:charset w:val="00"/>
    <w:family w:val="auto"/>
    <w:pitch w:val="default"/>
    <w:sig w:usb0="800000AF" w:usb1="4000204A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hint="default" w:ascii="方正兰亭黑_GBK" w:eastAsia="方正兰亭黑_GBK"/>
        <w:sz w:val="16"/>
        <w:lang w:val="en-US"/>
      </w:rPr>
    </w:pPr>
    <w:r>
      <w:rPr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方正仿宋简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方正仿宋简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rPr>
          <w:rFonts w:hint="default" w:ascii="Times LT Std Semibold" w:hAnsi="Times LT Std Semibold" w:eastAsia="方正兰亭黑_GBK" w:cs="Times LT Std Semibold"/>
          <w:sz w:val="14"/>
          <w:szCs w:val="14"/>
        </w:rPr>
        <w:id w:val="133694289"/>
        <w:docPartObj>
          <w:docPartGallery w:val="autotext"/>
        </w:docPartObj>
      </w:sdtPr>
      <w:sdtEndPr>
        <w:rPr>
          <w:rFonts w:hint="default" w:ascii="方正兰亭黑_GBK" w:hAnsi="方正兰亭黑_GBK" w:eastAsia="方正兰亭黑_GBK" w:cs="方正兰亭黑_GBK"/>
          <w:sz w:val="16"/>
          <w:szCs w:val="16"/>
          <w:lang w:val="en-US"/>
        </w:rPr>
      </w:sdtEndPr>
      <w:sdtContent/>
    </w:sdt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4214976"/>
      <w:docPartObj>
        <w:docPartGallery w:val="autotext"/>
      </w:docPartObj>
    </w:sdtPr>
    <w:sdtEndPr>
      <w:rPr>
        <w:rFonts w:hint="eastAsia" w:ascii="方正兰亭黑_GBK" w:eastAsia="方正兰亭黑_GBK"/>
        <w:sz w:val="16"/>
      </w:rPr>
    </w:sdtEndPr>
    <w:sdtContent>
      <w:p>
        <w:pPr>
          <w:pStyle w:val="6"/>
          <w:jc w:val="center"/>
          <w:rPr>
            <w:rFonts w:ascii="方正兰亭黑_GBK" w:eastAsia="方正兰亭黑_GBK"/>
            <w:sz w:val="16"/>
            <w:szCs w:val="33"/>
          </w:rPr>
        </w:pPr>
        <w:r>
          <w:rPr>
            <w:rFonts w:hint="eastAsia" w:ascii="方正兰亭黑_GBK" w:eastAsia="方正兰亭黑_GBK"/>
            <w:sz w:val="16"/>
          </w:rPr>
          <w:fldChar w:fldCharType="begin"/>
        </w:r>
        <w:r>
          <w:rPr>
            <w:rFonts w:hint="eastAsia" w:ascii="方正兰亭黑_GBK" w:eastAsia="方正兰亭黑_GBK"/>
            <w:sz w:val="16"/>
          </w:rPr>
          <w:instrText xml:space="preserve">PAGE   \* MERGEFORMAT</w:instrText>
        </w:r>
        <w:r>
          <w:rPr>
            <w:rFonts w:hint="eastAsia" w:ascii="方正兰亭黑_GBK" w:eastAsia="方正兰亭黑_GBK"/>
            <w:sz w:val="16"/>
          </w:rPr>
          <w:fldChar w:fldCharType="separate"/>
        </w:r>
        <w:r>
          <w:rPr>
            <w:rFonts w:ascii="方正兰亭黑_GBK" w:eastAsia="方正兰亭黑_GBK"/>
            <w:sz w:val="16"/>
            <w:lang w:val="zh-CN"/>
          </w:rPr>
          <w:t>4</w:t>
        </w:r>
        <w:r>
          <w:rPr>
            <w:rFonts w:hint="eastAsia" w:ascii="方正兰亭黑_GBK" w:eastAsia="方正兰亭黑_GBK"/>
            <w:sz w:val="16"/>
          </w:rPr>
          <w:fldChar w:fldCharType="end"/>
        </w:r>
      </w:p>
    </w:sdtContent>
  </w:sdt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240" w:lineRule="auto"/>
      <w:jc w:val="left"/>
      <w:rPr>
        <w:rFonts w:hint="eastAsia" w:ascii="方正兰亭黑_GBK" w:eastAsia="方正兰亭粗黑简体"/>
        <w:color w:val="2F5597" w:themeColor="accent5" w:themeShade="BF"/>
        <w:sz w:val="10"/>
        <w:szCs w:val="13"/>
        <w:lang w:val="en-US" w:eastAsia="zh-CN"/>
      </w:rPr>
    </w:pPr>
    <w:r>
      <w:rPr>
        <w:rFonts w:hint="eastAsia" w:ascii="方正兰亭黑_GBK" w:eastAsia="方正兰亭黑_GBK"/>
        <w:color w:val="2F5597" w:themeColor="accent5" w:themeShade="BF"/>
        <w:sz w:val="13"/>
        <w:szCs w:val="13"/>
      </w:rPr>
      <w:drawing>
        <wp:inline distT="0" distB="0" distL="0" distR="0">
          <wp:extent cx="3575050" cy="254000"/>
          <wp:effectExtent l="0" t="0" r="6350" b="12700"/>
          <wp:docPr id="2" name="图片 2" descr="D:\市委\制作稿\页眉-成都.png页眉-成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D:\市委\制作稿\页眉-成都.png页眉-成都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75050" cy="2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cs="宋体" w:asciiTheme="minorEastAsia" w:hAnsiTheme="minorEastAsia" w:eastAsiaTheme="minorEastAsia"/>
        <w:color w:val="2F5597" w:themeColor="accent5" w:themeShade="BF"/>
        <w:szCs w:val="21"/>
      </w:rPr>
      <w:t xml:space="preserve">                                        </w:t>
    </w:r>
    <w:r>
      <w:rPr>
        <w:rFonts w:hint="eastAsia" w:cs="宋体" w:asciiTheme="minorEastAsia" w:hAnsiTheme="minorEastAsia" w:eastAsiaTheme="minorEastAsia"/>
        <w:color w:val="2F5597" w:themeColor="accent5" w:themeShade="BF"/>
        <w:szCs w:val="21"/>
        <w:lang w:val="en-US" w:eastAsia="zh-CN"/>
      </w:rPr>
      <w:t xml:space="preserve">                                         </w:t>
    </w:r>
    <w:r>
      <w:rPr>
        <w:rFonts w:hint="eastAsia" w:ascii="方正兰亭黑_GBK" w:hAnsi="方正兰亭黑_GBK" w:eastAsia="方正兰亭黑_GBK" w:cs="方正兰亭黑_GBK"/>
        <w:color w:val="2F5597" w:themeColor="accent5" w:themeShade="BF"/>
        <w:sz w:val="16"/>
        <w:szCs w:val="16"/>
        <w:lang w:val="en-US" w:eastAsia="zh-CN"/>
      </w:rPr>
      <w:t>公共服务平台名录</w:t>
    </w:r>
  </w:p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left"/>
    </w:pPr>
    <w:r>
      <w:rPr>
        <w:rFonts w:hint="eastAsia"/>
      </w:rPr>
      <w:drawing>
        <wp:inline distT="0" distB="0" distL="0" distR="0">
          <wp:extent cx="1979930" cy="200025"/>
          <wp:effectExtent l="0" t="0" r="1270" b="9525"/>
          <wp:docPr id="3" name="图片 3" descr="C:\Users\Administrator\Desktop\成都城市机会清单2\眉头内容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C:\Users\Administrator\Desktop\成都城市机会清单2\眉头内容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80000" cy="200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65"/>
  <w:drawingGridVerticalSpacing w:val="449"/>
  <w:displayHorizontalDrawingGridEvery w:val="0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D02829"/>
    <w:rsid w:val="00132F2A"/>
    <w:rsid w:val="001A4A38"/>
    <w:rsid w:val="001B2A9E"/>
    <w:rsid w:val="00290A08"/>
    <w:rsid w:val="002A2099"/>
    <w:rsid w:val="002E171D"/>
    <w:rsid w:val="00347712"/>
    <w:rsid w:val="00372A24"/>
    <w:rsid w:val="003739DC"/>
    <w:rsid w:val="003B32D3"/>
    <w:rsid w:val="003C212B"/>
    <w:rsid w:val="004063E0"/>
    <w:rsid w:val="0047786A"/>
    <w:rsid w:val="00487B59"/>
    <w:rsid w:val="00527D2A"/>
    <w:rsid w:val="00582698"/>
    <w:rsid w:val="005D1D27"/>
    <w:rsid w:val="00627566"/>
    <w:rsid w:val="006F28DB"/>
    <w:rsid w:val="00760894"/>
    <w:rsid w:val="00774600"/>
    <w:rsid w:val="007D1F03"/>
    <w:rsid w:val="008834C4"/>
    <w:rsid w:val="0095601F"/>
    <w:rsid w:val="00A527DF"/>
    <w:rsid w:val="00A75B9E"/>
    <w:rsid w:val="00AC2060"/>
    <w:rsid w:val="00BB2F8C"/>
    <w:rsid w:val="00BC23B0"/>
    <w:rsid w:val="00BF7DDD"/>
    <w:rsid w:val="00C2673B"/>
    <w:rsid w:val="00C84B33"/>
    <w:rsid w:val="00CD441D"/>
    <w:rsid w:val="00D8679F"/>
    <w:rsid w:val="00E1035F"/>
    <w:rsid w:val="00F72154"/>
    <w:rsid w:val="00FE1984"/>
    <w:rsid w:val="00FE3276"/>
    <w:rsid w:val="03556206"/>
    <w:rsid w:val="06D02829"/>
    <w:rsid w:val="079526A8"/>
    <w:rsid w:val="0D12570F"/>
    <w:rsid w:val="10323724"/>
    <w:rsid w:val="10F45906"/>
    <w:rsid w:val="120A1C83"/>
    <w:rsid w:val="1D311C30"/>
    <w:rsid w:val="1F3C2AB0"/>
    <w:rsid w:val="229C3DD9"/>
    <w:rsid w:val="24ED2F53"/>
    <w:rsid w:val="25F96AE4"/>
    <w:rsid w:val="286564D0"/>
    <w:rsid w:val="2BE65CDA"/>
    <w:rsid w:val="2D990003"/>
    <w:rsid w:val="2E903837"/>
    <w:rsid w:val="2FEE3B1C"/>
    <w:rsid w:val="390353A6"/>
    <w:rsid w:val="3D807A87"/>
    <w:rsid w:val="3E872969"/>
    <w:rsid w:val="3F841922"/>
    <w:rsid w:val="407967C4"/>
    <w:rsid w:val="4251616E"/>
    <w:rsid w:val="43C421DA"/>
    <w:rsid w:val="44C1668D"/>
    <w:rsid w:val="4A53224E"/>
    <w:rsid w:val="4D556A30"/>
    <w:rsid w:val="4D994E0C"/>
    <w:rsid w:val="4E4D5379"/>
    <w:rsid w:val="4F786992"/>
    <w:rsid w:val="51F429A3"/>
    <w:rsid w:val="53842295"/>
    <w:rsid w:val="53866E0C"/>
    <w:rsid w:val="552F4253"/>
    <w:rsid w:val="553E2530"/>
    <w:rsid w:val="57940107"/>
    <w:rsid w:val="5A5C7866"/>
    <w:rsid w:val="5D8B1F33"/>
    <w:rsid w:val="601D2114"/>
    <w:rsid w:val="6385096D"/>
    <w:rsid w:val="67B73FE7"/>
    <w:rsid w:val="6AFF1738"/>
    <w:rsid w:val="6DB5469F"/>
    <w:rsid w:val="6EBC5AC1"/>
    <w:rsid w:val="70802209"/>
    <w:rsid w:val="7262587C"/>
    <w:rsid w:val="727C7F59"/>
    <w:rsid w:val="73A80267"/>
    <w:rsid w:val="75167303"/>
    <w:rsid w:val="765E6FBE"/>
    <w:rsid w:val="78D75B9E"/>
    <w:rsid w:val="7A360D7B"/>
    <w:rsid w:val="7A9C747A"/>
    <w:rsid w:val="7C931B8A"/>
    <w:rsid w:val="7D260905"/>
    <w:rsid w:val="7F2D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99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方正仿宋简体" w:cs="Times New Roman"/>
      <w:sz w:val="33"/>
      <w:szCs w:val="33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next w:val="1"/>
    <w:semiHidden/>
    <w:qFormat/>
    <w:uiPriority w:val="99"/>
    <w:rPr>
      <w:rFonts w:ascii="宋体" w:cs="宋体"/>
      <w:sz w:val="18"/>
      <w:szCs w:val="18"/>
    </w:rPr>
  </w:style>
  <w:style w:type="paragraph" w:styleId="3">
    <w:name w:val="annotation text"/>
    <w:basedOn w:val="1"/>
    <w:qFormat/>
    <w:uiPriority w:val="0"/>
  </w:style>
  <w:style w:type="paragraph" w:styleId="4">
    <w:name w:val="Body Text"/>
    <w:basedOn w:val="1"/>
    <w:qFormat/>
    <w:uiPriority w:val="99"/>
    <w:rPr>
      <w:rFonts w:ascii="宋体" w:hAnsi="宋体" w:cs="宋体"/>
      <w:sz w:val="28"/>
      <w:szCs w:val="28"/>
      <w:lang w:val="zh-CN"/>
    </w:r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</w:pPr>
    <w:rPr>
      <w:sz w:val="24"/>
    </w:rPr>
  </w:style>
  <w:style w:type="paragraph" w:styleId="9">
    <w:name w:val="Title"/>
    <w:basedOn w:val="1"/>
    <w:next w:val="1"/>
    <w:link w:val="19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basedOn w:val="12"/>
    <w:qFormat/>
    <w:uiPriority w:val="0"/>
    <w:rPr>
      <w:sz w:val="21"/>
      <w:szCs w:val="21"/>
    </w:rPr>
  </w:style>
  <w:style w:type="character" w:customStyle="1" w:styleId="14">
    <w:name w:val="批注框文本 Char"/>
    <w:basedOn w:val="12"/>
    <w:link w:val="5"/>
    <w:qFormat/>
    <w:uiPriority w:val="0"/>
    <w:rPr>
      <w:rFonts w:eastAsia="方正仿宋简体"/>
      <w:sz w:val="18"/>
      <w:szCs w:val="18"/>
    </w:rPr>
  </w:style>
  <w:style w:type="character" w:customStyle="1" w:styleId="15">
    <w:name w:val="页眉 Char"/>
    <w:basedOn w:val="12"/>
    <w:link w:val="7"/>
    <w:qFormat/>
    <w:uiPriority w:val="99"/>
    <w:rPr>
      <w:rFonts w:eastAsia="方正仿宋简体"/>
      <w:sz w:val="18"/>
      <w:szCs w:val="18"/>
    </w:rPr>
  </w:style>
  <w:style w:type="character" w:customStyle="1" w:styleId="16">
    <w:name w:val="页脚 Char"/>
    <w:basedOn w:val="12"/>
    <w:link w:val="6"/>
    <w:qFormat/>
    <w:uiPriority w:val="99"/>
    <w:rPr>
      <w:rFonts w:eastAsia="方正仿宋简体"/>
      <w:sz w:val="18"/>
      <w:szCs w:val="18"/>
    </w:rPr>
  </w:style>
  <w:style w:type="paragraph" w:customStyle="1" w:styleId="17">
    <w:name w:val="BT-1"/>
    <w:basedOn w:val="1"/>
    <w:link w:val="18"/>
    <w:qFormat/>
    <w:uiPriority w:val="0"/>
    <w:pPr>
      <w:spacing w:after="224" w:afterLines="50" w:line="500" w:lineRule="exact"/>
      <w:jc w:val="center"/>
    </w:pPr>
    <w:rPr>
      <w:rFonts w:ascii="方正兰亭粗黑_GBK" w:hAnsi="宋体" w:eastAsia="方正兰亭粗黑_GBK" w:cs="宋体"/>
      <w:color w:val="2F5597" w:themeColor="accent5" w:themeShade="BF"/>
      <w:sz w:val="40"/>
      <w:szCs w:val="36"/>
    </w:rPr>
  </w:style>
  <w:style w:type="character" w:customStyle="1" w:styleId="18">
    <w:name w:val="BT-1 Char"/>
    <w:basedOn w:val="12"/>
    <w:link w:val="17"/>
    <w:qFormat/>
    <w:uiPriority w:val="0"/>
    <w:rPr>
      <w:rFonts w:ascii="方正兰亭粗黑_GBK" w:hAnsi="宋体" w:eastAsia="方正兰亭粗黑_GBK" w:cs="宋体"/>
      <w:color w:val="2F5597" w:themeColor="accent5" w:themeShade="BF"/>
      <w:sz w:val="40"/>
      <w:szCs w:val="36"/>
    </w:rPr>
  </w:style>
  <w:style w:type="character" w:customStyle="1" w:styleId="19">
    <w:name w:val="标题 Char"/>
    <w:basedOn w:val="12"/>
    <w:link w:val="9"/>
    <w:qFormat/>
    <w:uiPriority w:val="0"/>
    <w:rPr>
      <w:rFonts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F30E35-5D6B-4462-AF14-20DD574F5C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8</Pages>
  <Words>5532</Words>
  <Characters>6733</Characters>
  <Lines>30</Lines>
  <Paragraphs>8</Paragraphs>
  <TotalTime>1</TotalTime>
  <ScaleCrop>false</ScaleCrop>
  <LinksUpToDate>false</LinksUpToDate>
  <CharactersWithSpaces>6737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2019-06-04T06:43:00Z</dcterms:created>
  <dc:creator>马克图布</dc:creator>
  <cp:lastModifiedBy>【義】</cp:lastModifiedBy>
  <cp:lastPrinted>2019-05-31T02:40:00Z</cp:lastPrinted>
  <dcterms:modified xsi:type="dcterms:W3CDTF">2019-06-07T11:24:44Z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