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3A" w:rsidRDefault="00706A3A">
      <w:pPr>
        <w:pStyle w:val="BT-1"/>
        <w:jc w:val="both"/>
      </w:pPr>
    </w:p>
    <w:p w:rsidR="00706A3A" w:rsidRDefault="00706A3A">
      <w:pPr>
        <w:pStyle w:val="BT-1"/>
        <w:jc w:val="both"/>
      </w:pPr>
    </w:p>
    <w:p w:rsidR="00706A3A" w:rsidRDefault="00706A3A">
      <w:pPr>
        <w:pStyle w:val="BT-1"/>
        <w:jc w:val="both"/>
      </w:pPr>
    </w:p>
    <w:p w:rsidR="00706A3A" w:rsidRDefault="001E77B4">
      <w:pPr>
        <w:pStyle w:val="aa"/>
        <w:rPr>
          <w:rFonts w:ascii="方正兰亭粗黑简体" w:eastAsia="方正兰亭粗黑简体" w:hAnsi="方正兰亭粗黑简体" w:cs="方正兰亭粗黑简体"/>
          <w:b w:val="0"/>
          <w:color w:val="2F5496" w:themeColor="accent5" w:themeShade="BF"/>
          <w:sz w:val="72"/>
          <w:szCs w:val="72"/>
        </w:rPr>
      </w:pP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人力资源协同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应用场景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需求信息</w:t>
      </w:r>
    </w:p>
    <w:p w:rsidR="00CC62CA" w:rsidRPr="00CC62CA" w:rsidRDefault="00CC62CA" w:rsidP="00CC62CA">
      <w:pPr>
        <w:pStyle w:val="aa"/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</w:pPr>
      <w:r w:rsidRPr="00CC62CA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政府需求包含6个细分场景、15条需求信息，其中活动信息9条、解决方案1条、规划编制1条、基础设施建设1条</w:t>
      </w:r>
      <w:bookmarkStart w:id="0" w:name="_GoBack"/>
      <w:bookmarkEnd w:id="0"/>
    </w:p>
    <w:p w:rsidR="00706A3A" w:rsidRDefault="00CC62CA" w:rsidP="00CC62CA">
      <w:pPr>
        <w:pStyle w:val="aa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 w:rsidRPr="00CC62CA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企业协作1条、资源要素1条、产品（服务）需求1条</w:t>
      </w:r>
    </w:p>
    <w:p w:rsidR="00706A3A" w:rsidRDefault="00706A3A">
      <w:pPr>
        <w:pStyle w:val="a4"/>
        <w:spacing w:line="240" w:lineRule="atLeast"/>
        <w:rPr>
          <w:rFonts w:ascii="方正兰亭粗黑简体" w:eastAsia="方正兰亭粗黑简体" w:hAnsi="方正兰亭粗黑简体" w:cs="方正兰亭粗黑简体"/>
          <w:color w:val="2F5496" w:themeColor="accent5" w:themeShade="BF"/>
          <w:sz w:val="72"/>
          <w:szCs w:val="72"/>
        </w:rPr>
      </w:pPr>
    </w:p>
    <w:p w:rsidR="00706A3A" w:rsidRDefault="00706A3A">
      <w:pPr>
        <w:spacing w:line="240" w:lineRule="atLeast"/>
      </w:pPr>
    </w:p>
    <w:p w:rsidR="00706A3A" w:rsidRDefault="00706A3A">
      <w:pPr>
        <w:pStyle w:val="a4"/>
      </w:pPr>
    </w:p>
    <w:p w:rsidR="00706A3A" w:rsidRDefault="00706A3A"/>
    <w:p w:rsidR="00706A3A" w:rsidRDefault="00706A3A">
      <w:pPr>
        <w:pStyle w:val="a4"/>
      </w:pPr>
    </w:p>
    <w:p w:rsidR="00706A3A" w:rsidRDefault="00706A3A"/>
    <w:p w:rsidR="00706A3A" w:rsidRDefault="00706A3A">
      <w:pPr>
        <w:pStyle w:val="a0"/>
      </w:pPr>
    </w:p>
    <w:p w:rsidR="00706A3A" w:rsidRDefault="00706A3A"/>
    <w:p w:rsidR="00706A3A" w:rsidRDefault="001E77B4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政府需求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49"/>
        <w:gridCol w:w="1203"/>
        <w:gridCol w:w="1701"/>
        <w:gridCol w:w="5102"/>
        <w:gridCol w:w="1661"/>
        <w:gridCol w:w="810"/>
        <w:gridCol w:w="1346"/>
        <w:gridCol w:w="1077"/>
      </w:tblGrid>
      <w:tr w:rsidR="00706A3A">
        <w:trPr>
          <w:trHeight w:val="90"/>
          <w:tblHeader/>
        </w:trPr>
        <w:tc>
          <w:tcPr>
            <w:tcW w:w="1349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102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661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706A3A">
        <w:trPr>
          <w:trHeight w:val="454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成都中德职教创新功能区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（成都蒲江）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规划编制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成都中德职教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创新功能区规划</w:t>
            </w:r>
          </w:p>
        </w:tc>
        <w:tc>
          <w:tcPr>
            <w:tcW w:w="5102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通过招投标引入规划设计机构，围绕“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核四区”功能分区打造，编制《成都中德职教创新功能区城市空间设计规划》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蒲江县教育局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杨华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15882231606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教育培训区</w:t>
            </w:r>
          </w:p>
        </w:tc>
        <w:tc>
          <w:tcPr>
            <w:tcW w:w="5102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成都中德职教创新功能区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亿元</w:t>
            </w:r>
          </w:p>
          <w:p w:rsidR="00706A3A" w:rsidRDefault="001E77B4">
            <w:pPr>
              <w:pStyle w:val="a4"/>
              <w:spacing w:line="280" w:lineRule="exact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融资需求额度</w:t>
            </w:r>
            <w:r>
              <w:rPr>
                <w:rFonts w:asciiTheme="minorEastAsia" w:eastAsiaTheme="minorEastAsia" w:hAnsiTheme="minorEastAsia" w:cstheme="minorEastAsia" w:hint="eastAsia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</w:rPr>
              <w:t>亿元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引入高等职业院校、本科院校或社会投资机构，建设成都中德职教创新功能区教育培训区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蒲江县教育局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杨华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15882231606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2025.12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企业协作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运营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KUKA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机器人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授权研究院</w:t>
            </w:r>
          </w:p>
        </w:tc>
        <w:tc>
          <w:tcPr>
            <w:tcW w:w="5102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引入教育培训、游学体验类企业提供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KUKA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机器人授权研究院运营管理服务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蒲江县市场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监督管理局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杨华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15882231606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2020.12</w:t>
            </w:r>
          </w:p>
        </w:tc>
      </w:tr>
      <w:tr w:rsidR="00706A3A">
        <w:trPr>
          <w:trHeight w:val="454"/>
        </w:trPr>
        <w:tc>
          <w:tcPr>
            <w:tcW w:w="1349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人才招引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w w:val="90"/>
                <w:sz w:val="18"/>
                <w:szCs w:val="18"/>
              </w:rPr>
              <w:t>（成都天府区）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招才引智活动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引入专业执行机构为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年下半年系列招才引智活动提供活动组织服务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场次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举办数场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成都市内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预算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成都天府新区创新创业人才服务中心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周胤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13880639637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.6-9</w:t>
            </w:r>
          </w:p>
        </w:tc>
      </w:tr>
      <w:tr w:rsidR="00706A3A">
        <w:trPr>
          <w:trHeight w:val="2208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温江人才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交流活动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（成都温江）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蓉漂人才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荟</w:t>
            </w:r>
            <w:proofErr w:type="gramEnd"/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引入有招聘需求的在蓉企事业单位参加活动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引入专业机构对接目标高校相关部门，争取同意开展活动的请求并提供活动场地协调、学生邀请等服务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引入各类媒体推广、报道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省外高校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活动规模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经费预算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温江区委组织部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潘军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028-82668986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长期有效</w:t>
            </w:r>
          </w:p>
        </w:tc>
      </w:tr>
      <w:tr w:rsidR="00706A3A">
        <w:trPr>
          <w:trHeight w:val="1195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温江人才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交流活动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（成都温江）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鱼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凫创智营</w:t>
            </w:r>
            <w:proofErr w:type="gramEnd"/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引入专业机构招募培训导师，并做好会议场地安排等保障服务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月（每两个月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次）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柏萃·白居度假酒店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温江区委组织部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潘军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028-82668986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长期有效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shd w:val="clear" w:color="auto" w:fill="9CC2E5" w:themeFill="accent1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BDD6EE" w:themeFill="accent1" w:themeFillTint="66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鱼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凫菁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英汇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引入专业机构做好会议场地保障和参会人才邀请服务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月（每两个月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次）</w:t>
            </w:r>
          </w:p>
          <w:p w:rsidR="00706A3A" w:rsidRDefault="001E77B4">
            <w:pPr>
              <w:tabs>
                <w:tab w:val="center" w:pos="2884"/>
              </w:tabs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创新中心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ab/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温江区委组织部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潘军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028-82668986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长期有效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shd w:val="clear" w:color="auto" w:fill="9CC2E5" w:themeFill="accent1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BDD6EE" w:themeFill="accent1" w:themeFillTint="66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第七届青年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（大学生）创新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创业大赛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引入专业机构提供活动策划、现场运营服务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活动规模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经费预算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温江区人社局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彭东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028-82723671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.6-11</w:t>
            </w:r>
          </w:p>
        </w:tc>
      </w:tr>
      <w:tr w:rsidR="00706A3A">
        <w:trPr>
          <w:trHeight w:val="454"/>
        </w:trPr>
        <w:tc>
          <w:tcPr>
            <w:tcW w:w="1349" w:type="dxa"/>
            <w:vMerge w:val="restart"/>
            <w:shd w:val="clear" w:color="auto" w:fill="A8D08D" w:themeFill="accent6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温江区法治保障综合体</w:t>
            </w:r>
          </w:p>
        </w:tc>
        <w:tc>
          <w:tcPr>
            <w:tcW w:w="1203" w:type="dxa"/>
            <w:shd w:val="clear" w:color="auto" w:fill="C5E0B3" w:themeFill="accent6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解决方案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温江区法治保障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综合体项目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引入规划设计机构，结合城市综合体、商业综合体运作模式及上海法治保障共同体工作模式，制定法治保障综合体整体解决方案（职能设置、机构设置、功能设置、人员构成和运转机制）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温江区司法局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李向成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18981902786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shd w:val="clear" w:color="auto" w:fill="A8D08D" w:themeFill="accent6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法律服务人才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专业要求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法学专业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资历要求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资深律师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能力要求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在服务企业方面能力突出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温江区司法局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李向成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18981902786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06A3A">
        <w:trPr>
          <w:trHeight w:val="454"/>
        </w:trPr>
        <w:tc>
          <w:tcPr>
            <w:tcW w:w="1349" w:type="dxa"/>
            <w:vMerge/>
            <w:shd w:val="clear" w:color="auto" w:fill="F4B083" w:themeFill="accent2" w:themeFillTint="99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产品（服务）需求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温江区法治保障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综合服务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引入专业机构提供基本公共法律服务、个性化公共法律服务、法治保障高端论坛、三方评估、温江产业经济法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治保障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理论研究等服务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温江区司法局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李向成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18981902786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706A3A">
        <w:trPr>
          <w:trHeight w:val="454"/>
        </w:trPr>
        <w:tc>
          <w:tcPr>
            <w:tcW w:w="1349" w:type="dxa"/>
            <w:shd w:val="clear" w:color="auto" w:fill="F4B083" w:themeFill="accent2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青羊区“蓉漂”人才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荟</w:t>
            </w:r>
            <w:proofErr w:type="gramEnd"/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（成都青羊）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“蓉漂”人才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荟</w:t>
            </w:r>
            <w:proofErr w:type="gramEnd"/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系列活动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引入活动执行方，提供宣传推介、人才招聘、项目对接等专业人力资源服务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参会对象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青羊区内有招引人才和宣传推介需求的重点企事业单位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活动地点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符合企业需求且拥有优秀毕业生的高校或者人才密集的城市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青羊区委组织部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李小欢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18280234021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.6-7</w:t>
            </w:r>
          </w:p>
        </w:tc>
      </w:tr>
      <w:tr w:rsidR="00706A3A">
        <w:trPr>
          <w:trHeight w:val="1081"/>
        </w:trPr>
        <w:tc>
          <w:tcPr>
            <w:tcW w:w="1349" w:type="dxa"/>
            <w:vMerge w:val="restart"/>
            <w:shd w:val="clear" w:color="auto" w:fill="F4B083" w:themeFill="accent2" w:themeFillTint="99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都江堰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蓉漂计划</w:t>
            </w:r>
          </w:p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（成都蒲江）</w:t>
            </w:r>
          </w:p>
        </w:tc>
        <w:tc>
          <w:tcPr>
            <w:tcW w:w="120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“蓉漂”人才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——青年人才实习季系列活动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7-8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邀请高校就业部门、团委等组织在校学生在都江堰市级相关部门、主城区街道等单位开展暑期实习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都江堰市委组织部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唐莹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赵伟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028-61751563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.6-8</w:t>
            </w:r>
          </w:p>
        </w:tc>
      </w:tr>
      <w:tr w:rsidR="00706A3A">
        <w:trPr>
          <w:trHeight w:val="1153"/>
        </w:trPr>
        <w:tc>
          <w:tcPr>
            <w:tcW w:w="1349" w:type="dxa"/>
            <w:vMerge/>
            <w:shd w:val="clear" w:color="auto" w:fill="F4B083" w:themeFill="accent2" w:themeFillTint="99"/>
            <w:vAlign w:val="center"/>
          </w:tcPr>
          <w:p w:rsidR="00706A3A" w:rsidRDefault="00706A3A">
            <w:pPr>
              <w:spacing w:line="28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“蓉漂”人才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系列活动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月（暂定）</w:t>
            </w:r>
          </w:p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引入有招聘需求的在蓉企事业单位参加拟于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月举办的活动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都江堰市委组织部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唐莹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赵伟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028-61751563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.6-10</w:t>
            </w:r>
          </w:p>
        </w:tc>
      </w:tr>
      <w:tr w:rsidR="00706A3A">
        <w:trPr>
          <w:trHeight w:val="1164"/>
        </w:trPr>
        <w:tc>
          <w:tcPr>
            <w:tcW w:w="1349" w:type="dxa"/>
            <w:vMerge/>
            <w:shd w:val="clear" w:color="auto" w:fill="F4B083" w:themeFill="accent2" w:themeFillTint="99"/>
            <w:vAlign w:val="center"/>
          </w:tcPr>
          <w:p w:rsidR="00706A3A" w:rsidRDefault="00706A3A">
            <w:pPr>
              <w:spacing w:line="28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6A3A" w:rsidRDefault="00706A3A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日常、蓉漂、高校毕业生专场招聘会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邀请有招聘需求的在蓉企事业单位参加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年全年每周二、周五日常招聘会及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月于都江堰举办的高校毕业生专场招聘会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都江堰市人力</w:t>
            </w:r>
          </w:p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资源市场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吴觅</w:t>
            </w:r>
            <w:proofErr w:type="gramEnd"/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13880709218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706A3A" w:rsidRDefault="001E77B4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</w:tbl>
    <w:p w:rsidR="00706A3A" w:rsidRDefault="00706A3A">
      <w:pPr>
        <w:spacing w:line="28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p w:rsidR="00706A3A" w:rsidRDefault="00706A3A">
      <w:pPr>
        <w:spacing w:line="28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p w:rsidR="00706A3A" w:rsidRDefault="00706A3A">
      <w:pPr>
        <w:spacing w:line="280" w:lineRule="exact"/>
      </w:pPr>
    </w:p>
    <w:sectPr w:rsidR="00706A3A">
      <w:headerReference w:type="even" r:id="rId9"/>
      <w:headerReference w:type="default" r:id="rId10"/>
      <w:footerReference w:type="even" r:id="rId11"/>
      <w:footerReference w:type="default" r:id="rId12"/>
      <w:pgSz w:w="16500" w:h="12247" w:orient="landscape"/>
      <w:pgMar w:top="1134" w:right="1134" w:bottom="1134" w:left="1134" w:header="567" w:footer="567" w:gutter="0"/>
      <w:pgNumType w:start="36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B4" w:rsidRDefault="001E77B4">
      <w:r>
        <w:separator/>
      </w:r>
    </w:p>
  </w:endnote>
  <w:endnote w:type="continuationSeparator" w:id="0">
    <w:p w:rsidR="001E77B4" w:rsidRDefault="001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兰亭粗黑_GBK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粗黑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中黑_GBK">
    <w:altName w:val="黑体"/>
    <w:panose1 w:val="02000000000000000000"/>
    <w:charset w:val="86"/>
    <w:family w:val="auto"/>
    <w:pitch w:val="variable"/>
    <w:sig w:usb0="800002BF" w:usb1="38CF7CFA" w:usb2="00082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Times LT Std Semi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4976"/>
    </w:sdtPr>
    <w:sdtEndPr>
      <w:rPr>
        <w:rFonts w:ascii="方正兰亭黑_GBK" w:eastAsia="方正兰亭黑_GBK" w:hint="eastAsia"/>
        <w:sz w:val="16"/>
      </w:rPr>
    </w:sdtEndPr>
    <w:sdtContent>
      <w:p w:rsidR="00706A3A" w:rsidRDefault="001E77B4">
        <w:pPr>
          <w:pStyle w:val="a7"/>
          <w:jc w:val="center"/>
          <w:rPr>
            <w:rFonts w:ascii="方正兰亭黑_GBK" w:eastAsia="方正兰亭黑_GBK"/>
            <w:sz w:val="16"/>
            <w:szCs w:val="33"/>
          </w:rPr>
        </w:pPr>
        <w:r>
          <w:rPr>
            <w:rFonts w:ascii="方正兰亭黑_GBK" w:eastAsia="方正兰亭黑_GBK" w:hint="eastAsia"/>
            <w:sz w:val="16"/>
          </w:rPr>
          <w:fldChar w:fldCharType="begin"/>
        </w:r>
        <w:r>
          <w:rPr>
            <w:rFonts w:ascii="方正兰亭黑_GBK" w:eastAsia="方正兰亭黑_GBK" w:hint="eastAsia"/>
            <w:sz w:val="16"/>
          </w:rPr>
          <w:instrText>PAGE   \* MERGEFORMAT</w:instrText>
        </w:r>
        <w:r>
          <w:rPr>
            <w:rFonts w:ascii="方正兰亭黑_GBK" w:eastAsia="方正兰亭黑_GBK" w:hint="eastAsia"/>
            <w:sz w:val="16"/>
          </w:rPr>
          <w:fldChar w:fldCharType="separate"/>
        </w:r>
        <w:r>
          <w:rPr>
            <w:rFonts w:ascii="方正兰亭黑_GBK" w:eastAsia="方正兰亭黑_GBK"/>
            <w:sz w:val="16"/>
            <w:lang w:val="zh-CN"/>
          </w:rPr>
          <w:t>4</w:t>
        </w:r>
        <w:r>
          <w:rPr>
            <w:rFonts w:ascii="方正兰亭黑_GBK" w:eastAsia="方正兰亭黑_GBK" w:hint="eastAsia"/>
            <w:sz w:val="16"/>
          </w:rPr>
          <w:fldChar w:fldCharType="end"/>
        </w:r>
      </w:p>
    </w:sdtContent>
  </w:sdt>
  <w:p w:rsidR="00706A3A" w:rsidRDefault="00706A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3A" w:rsidRDefault="001E77B4">
    <w:pPr>
      <w:pStyle w:val="a7"/>
      <w:jc w:val="center"/>
      <w:rPr>
        <w:rFonts w:ascii="方正兰亭黑_GBK" w:eastAsia="方正兰亭黑_GBK"/>
        <w:sz w:val="16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A3A" w:rsidRDefault="001E77B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C62CA">
                            <w:rPr>
                              <w:noProof/>
                            </w:rPr>
                            <w:t>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6A3A" w:rsidRDefault="001E77B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C62CA">
                      <w:rPr>
                        <w:noProof/>
                      </w:rPr>
                      <w:t>36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imes LT Std Semibold" w:eastAsia="方正兰亭黑_GBK" w:hAnsi="Times LT Std Semibold" w:cs="Times LT Std Semibold"/>
          <w:sz w:val="14"/>
          <w:szCs w:val="14"/>
        </w:rPr>
        <w:id w:val="133694289"/>
      </w:sdtPr>
      <w:sdtEndPr>
        <w:rPr>
          <w:rFonts w:ascii="方正兰亭黑_GBK" w:hAnsi="方正兰亭黑_GBK" w:cs="方正兰亭黑_GBK"/>
          <w:sz w:val="16"/>
          <w:szCs w:val="16"/>
        </w:rPr>
      </w:sdtEndPr>
      <w:sdtContent/>
    </w:sdt>
  </w:p>
  <w:p w:rsidR="00706A3A" w:rsidRDefault="00706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B4" w:rsidRDefault="001E77B4">
      <w:r>
        <w:separator/>
      </w:r>
    </w:p>
  </w:footnote>
  <w:footnote w:type="continuationSeparator" w:id="0">
    <w:p w:rsidR="001E77B4" w:rsidRDefault="001E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3A" w:rsidRDefault="001E77B4">
    <w:pPr>
      <w:pStyle w:val="a8"/>
      <w:jc w:val="left"/>
    </w:pPr>
    <w:r>
      <w:rPr>
        <w:rFonts w:hint="eastAsia"/>
        <w:noProof/>
      </w:rPr>
      <w:drawing>
        <wp:inline distT="0" distB="0" distL="0" distR="0">
          <wp:extent cx="1979930" cy="200025"/>
          <wp:effectExtent l="0" t="0" r="1270" b="9525"/>
          <wp:docPr id="3" name="图片 3" descr="C:\Users\Administrator\Desktop\成都城市机会清单2\眉头内容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成都城市机会清单2\眉头内容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2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A3A" w:rsidRDefault="00706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3A" w:rsidRDefault="001E77B4">
    <w:pPr>
      <w:pStyle w:val="a8"/>
      <w:jc w:val="left"/>
      <w:rPr>
        <w:rFonts w:ascii="方正兰亭黑_GBK" w:eastAsia="方正兰亭粗黑简体"/>
        <w:color w:val="2F5496" w:themeColor="accent5" w:themeShade="BF"/>
        <w:sz w:val="10"/>
        <w:szCs w:val="13"/>
      </w:rPr>
    </w:pPr>
    <w:r>
      <w:rPr>
        <w:rFonts w:ascii="方正兰亭黑_GBK" w:eastAsia="方正兰亭黑_GBK" w:hint="eastAsia"/>
        <w:noProof/>
        <w:color w:val="2F5496" w:themeColor="accent5" w:themeShade="BF"/>
        <w:sz w:val="13"/>
        <w:szCs w:val="13"/>
      </w:rPr>
      <w:drawing>
        <wp:inline distT="0" distB="0" distL="0" distR="0">
          <wp:extent cx="3575050" cy="254000"/>
          <wp:effectExtent l="0" t="0" r="6350" b="12700"/>
          <wp:docPr id="2" name="图片 2" descr="D:\市委\制作稿\页眉-成都.png页眉-成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市委\制作稿\页眉-成都.png页眉-成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0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          </w:t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</w:t>
    </w:r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人力资源协同应用场景需求信息</w:t>
    </w:r>
  </w:p>
  <w:p w:rsidR="00706A3A" w:rsidRDefault="00706A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2829"/>
    <w:rsid w:val="00132F2A"/>
    <w:rsid w:val="001A4A38"/>
    <w:rsid w:val="001B2A9E"/>
    <w:rsid w:val="001E77B4"/>
    <w:rsid w:val="00290A08"/>
    <w:rsid w:val="002A2099"/>
    <w:rsid w:val="002E171D"/>
    <w:rsid w:val="00347712"/>
    <w:rsid w:val="00372A24"/>
    <w:rsid w:val="003739DC"/>
    <w:rsid w:val="003B32D3"/>
    <w:rsid w:val="003C212B"/>
    <w:rsid w:val="004063E0"/>
    <w:rsid w:val="0047786A"/>
    <w:rsid w:val="00487B59"/>
    <w:rsid w:val="00527D2A"/>
    <w:rsid w:val="00582698"/>
    <w:rsid w:val="005D1D27"/>
    <w:rsid w:val="00627566"/>
    <w:rsid w:val="006F28DB"/>
    <w:rsid w:val="00706A3A"/>
    <w:rsid w:val="00760894"/>
    <w:rsid w:val="00774600"/>
    <w:rsid w:val="007D1F03"/>
    <w:rsid w:val="008834C4"/>
    <w:rsid w:val="0095601F"/>
    <w:rsid w:val="00A527DF"/>
    <w:rsid w:val="00A75B9E"/>
    <w:rsid w:val="00AC2060"/>
    <w:rsid w:val="00BB2F8C"/>
    <w:rsid w:val="00BC23B0"/>
    <w:rsid w:val="00BF7DDD"/>
    <w:rsid w:val="00C2673B"/>
    <w:rsid w:val="00C84B33"/>
    <w:rsid w:val="00CC62CA"/>
    <w:rsid w:val="00CD441D"/>
    <w:rsid w:val="00D8679F"/>
    <w:rsid w:val="00E1035F"/>
    <w:rsid w:val="00F72154"/>
    <w:rsid w:val="00FE1984"/>
    <w:rsid w:val="00FE3276"/>
    <w:rsid w:val="011B40C8"/>
    <w:rsid w:val="02A6345D"/>
    <w:rsid w:val="03556206"/>
    <w:rsid w:val="06D02829"/>
    <w:rsid w:val="079526A8"/>
    <w:rsid w:val="0EBD58A0"/>
    <w:rsid w:val="10323724"/>
    <w:rsid w:val="10F45906"/>
    <w:rsid w:val="120A1C83"/>
    <w:rsid w:val="1CE71CA0"/>
    <w:rsid w:val="1F3C2AB0"/>
    <w:rsid w:val="229C3DD9"/>
    <w:rsid w:val="22DD0DCE"/>
    <w:rsid w:val="24ED2F53"/>
    <w:rsid w:val="25F96AE4"/>
    <w:rsid w:val="2E903837"/>
    <w:rsid w:val="33681F56"/>
    <w:rsid w:val="390353A6"/>
    <w:rsid w:val="3E257014"/>
    <w:rsid w:val="3F841922"/>
    <w:rsid w:val="43C421DA"/>
    <w:rsid w:val="44AA3188"/>
    <w:rsid w:val="44C1668D"/>
    <w:rsid w:val="4D556A30"/>
    <w:rsid w:val="4D994E0C"/>
    <w:rsid w:val="552F4253"/>
    <w:rsid w:val="553E2530"/>
    <w:rsid w:val="57940107"/>
    <w:rsid w:val="5D8B1F33"/>
    <w:rsid w:val="601D2114"/>
    <w:rsid w:val="604F4EEA"/>
    <w:rsid w:val="645D0768"/>
    <w:rsid w:val="66305E08"/>
    <w:rsid w:val="67B73FE7"/>
    <w:rsid w:val="6AFF1738"/>
    <w:rsid w:val="71CE52E7"/>
    <w:rsid w:val="73A80267"/>
    <w:rsid w:val="73B023BE"/>
    <w:rsid w:val="74961555"/>
    <w:rsid w:val="75167303"/>
    <w:rsid w:val="765E6FBE"/>
    <w:rsid w:val="7A360D7B"/>
    <w:rsid w:val="7D260905"/>
    <w:rsid w:val="7F9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4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qFormat/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4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qFormat/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90272-4E86-47CF-A04B-8FB0B019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1751</Characters>
  <Application>Microsoft Office Word</Application>
  <DocSecurity>0</DocSecurity>
  <Lines>14</Lines>
  <Paragraphs>4</Paragraphs>
  <ScaleCrop>false</ScaleCrop>
  <Company>Micorosoft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马克图布</dc:creator>
  <cp:lastModifiedBy>Micorosoft</cp:lastModifiedBy>
  <cp:revision>5</cp:revision>
  <cp:lastPrinted>2019-05-31T02:40:00Z</cp:lastPrinted>
  <dcterms:created xsi:type="dcterms:W3CDTF">2019-06-04T06:43:00Z</dcterms:created>
  <dcterms:modified xsi:type="dcterms:W3CDTF">2019-06-10T05:45:00Z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