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652F5">
      <w:pPr>
        <w:pStyle w:val="6"/>
        <w:shd w:val="clear"/>
        <w:spacing w:line="580" w:lineRule="exact"/>
        <w:ind w:left="0" w:leftChars="0" w:firstLine="0" w:firstLineChars="0"/>
        <w:outlineLvl w:val="1"/>
        <w:rPr>
          <w:rFonts w:hint="default" w:ascii="Times New Roman" w:hAnsi="Times New Roman" w:eastAsia="黑体" w:cs="黑体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highlight w:val="none"/>
          <w:lang w:val="en-US" w:eastAsia="zh-CN"/>
        </w:rPr>
        <w:t>附件</w:t>
      </w:r>
      <w:r>
        <w:rPr>
          <w:rFonts w:hint="eastAsia" w:eastAsia="黑体" w:cs="黑体"/>
          <w:highlight w:val="none"/>
          <w:lang w:val="en-US" w:eastAsia="zh-CN"/>
        </w:rPr>
        <w:t>3</w:t>
      </w:r>
      <w:bookmarkStart w:id="0" w:name="_GoBack"/>
      <w:bookmarkEnd w:id="0"/>
    </w:p>
    <w:p w14:paraId="05DD0598">
      <w:pPr>
        <w:shd w:val="clear"/>
        <w:spacing w:line="800" w:lineRule="exact"/>
        <w:jc w:val="center"/>
        <w:rPr>
          <w:rFonts w:hint="eastAsia" w:ascii="Times New Roman" w:hAnsi="Times New Roman" w:eastAsia="方正小标宋简体" w:cs="方正小标宋简体"/>
          <w:kern w:val="13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kern w:val="13"/>
          <w:sz w:val="44"/>
          <w:szCs w:val="44"/>
          <w:highlight w:val="none"/>
          <w:lang w:val="en-US" w:eastAsia="zh-CN"/>
        </w:rPr>
        <w:t>四川省个体工商户公共信用综合评价指标体系（征求意见稿）</w:t>
      </w:r>
    </w:p>
    <w:p w14:paraId="353C775A">
      <w:pPr>
        <w:numPr>
          <w:ilvl w:val="0"/>
          <w:numId w:val="0"/>
        </w:numPr>
        <w:shd w:val="clear"/>
        <w:ind w:firstLine="0" w:firstLineChars="0"/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tbl>
      <w:tblPr>
        <w:tblStyle w:val="4"/>
        <w:tblW w:w="14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71"/>
        <w:gridCol w:w="1125"/>
        <w:gridCol w:w="787"/>
        <w:gridCol w:w="1275"/>
        <w:gridCol w:w="800"/>
        <w:gridCol w:w="2837"/>
        <w:gridCol w:w="3127"/>
        <w:gridCol w:w="786"/>
        <w:gridCol w:w="1971"/>
      </w:tblGrid>
      <w:tr w14:paraId="5A769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tblHeader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22C6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52D7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权重1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0A30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7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4A73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权重2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CF79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5E80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权重3</w:t>
            </w:r>
          </w:p>
        </w:tc>
        <w:tc>
          <w:tcPr>
            <w:tcW w:w="28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7F96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指标说明</w:t>
            </w:r>
          </w:p>
        </w:tc>
        <w:tc>
          <w:tcPr>
            <w:tcW w:w="31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04A1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评分规则</w:t>
            </w:r>
          </w:p>
        </w:tc>
        <w:tc>
          <w:tcPr>
            <w:tcW w:w="78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61F1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分数</w:t>
            </w:r>
          </w:p>
        </w:tc>
        <w:tc>
          <w:tcPr>
            <w:tcW w:w="1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F752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依据或参考</w:t>
            </w:r>
          </w:p>
        </w:tc>
      </w:tr>
      <w:tr w14:paraId="7FFDC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8192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共5个</w:t>
            </w: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510C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608C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共16个</w:t>
            </w: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C405F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C584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共25个</w:t>
            </w: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3E2C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95D2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5208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9998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CE64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F50F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6A2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7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A492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7092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7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4352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F9C1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个体工商户存续时间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B824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8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AB40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个体工商户的存续时间</w:t>
            </w: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505C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存续时间5年及以上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08D6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6484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《个体工商户公共信用评价规范》（DB4403/T 421—2023）</w:t>
            </w:r>
          </w:p>
        </w:tc>
      </w:tr>
      <w:tr w14:paraId="7CB88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32556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6459A4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698F0A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ED09C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E6D72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98B73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7B596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757F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存续时间3（含）—5年（不含）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49B1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2760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5588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CA2EA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F2131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B78BC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6DE48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DD5FA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3E900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4CB6F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C614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存续时间1（含）—3年（不含）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2988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FE18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6A36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5AC43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E2969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F8284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EAD8D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A4F7D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49667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DABBE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ECC8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存续时间小于1年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1081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D8BB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98DC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D98B6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34E78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103E3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7A71ED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EC19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个体工商户资金数额信息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DFBF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8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1BAB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个体工商户开办的资金数额大小信息</w:t>
            </w: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70E2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开办的资金数额10万元及以上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EF29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F33EE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4063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D6000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9F5B4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F1926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FF65E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A214E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96A6B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5E8DA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622A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开办的资金数额5（含）—10万元（不含）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C961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A9EC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C72D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5591F5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FE4D8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CD639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1E1D2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85D31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CC09F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DD8D5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1AEB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开办的资金数额小于5万元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7CA6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318C6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8F3C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D3C0D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12220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FE1C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经营者信息</w:t>
            </w:r>
          </w:p>
        </w:tc>
        <w:tc>
          <w:tcPr>
            <w:tcW w:w="7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B58D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93B1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经营者失信被执行人信息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850A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8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3267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经营者被法院列为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失信被执行人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</w:t>
            </w: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6638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近3年内经营者无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失信被执行人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5DE2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AAB1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《企业信用评价指标》（GB/T 23794-2023）、《个体工商户公共信用评价规范》（DB4403/T 421—2023）、《公共信用评价规范》（DB33/T 1331-2023）</w:t>
            </w:r>
          </w:p>
        </w:tc>
      </w:tr>
      <w:tr w14:paraId="56BF4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ED8C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9201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A349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5965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EF61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8AC8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DC89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395A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近3年内经营者有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失信被执行人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D1A2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7E1B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F33B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D7842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3C8E38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B162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EF54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99FA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经营者注销个体工商户信息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E051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8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8B27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经营者频繁注销个体工商户次数</w:t>
            </w: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CA009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近3年内经营者注销个体工商户次数小于3次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BF3D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88DC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4F37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A279D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83DB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8B04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3E18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FF2D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2E9D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68B3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2074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近3年内经营者注销个体工商户次数为3—5次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F815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D453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2B78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67C5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E6B3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F385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0015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6F78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7FCD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ADCB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A23E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近3年内经营者注销个体工商户次数大于5次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0A0C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D126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21B5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CE977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3219A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2EC6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194F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03C4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经营者名下关联主体吊销信息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B44A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8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3B09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经营者名下其他个体工商户及企业（担任法定代表人、董监高、实际控制人）被吊销的信息</w:t>
            </w: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E8DE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近3年内无被吊销信息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7B9E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BFEC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7768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1B82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258C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36F49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F1F2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41A9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02DC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43AA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EE35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近3年内有被吊销信息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B7AF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3020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3306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692EC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EFDBA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72B0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变更风险</w:t>
            </w:r>
          </w:p>
        </w:tc>
        <w:tc>
          <w:tcPr>
            <w:tcW w:w="7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0F8C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12E9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变更名称、地址信息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3441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28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9F08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个体工商户频繁变更名称、地址信息</w:t>
            </w: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CA234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近3年内变更名称、地址信息小于3条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3F50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F5EC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《个体工商户公共信用评价规范》（DB4403/T 421—2023）</w:t>
            </w:r>
          </w:p>
        </w:tc>
      </w:tr>
      <w:tr w14:paraId="7531E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2054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2297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A866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3E2C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E153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45BD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B806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443A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近3年内变更名称、地址信息为3—5条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91CB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A787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FFC7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34DFC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726F7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4147B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1C75E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971E5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78AB2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90173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4D078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近3年内变更名称、地址信息大于5条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3086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E291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71AF3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0A69E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B42E8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76664">
            <w:pPr>
              <w:numPr>
                <w:ilvl w:val="0"/>
                <w:numId w:val="2"/>
              </w:numPr>
              <w:shd w:val="clear"/>
              <w:ind w:left="0" w:leftChars="0" w:hanging="57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经营信息</w:t>
            </w:r>
          </w:p>
        </w:tc>
        <w:tc>
          <w:tcPr>
            <w:tcW w:w="7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8D899">
            <w:pPr>
              <w:shd w:val="clear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/>
                <w:lang w:val="en-US" w:eastAsia="zh-CN"/>
              </w:rPr>
              <w:t>100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442D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经营异常信息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4685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8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476C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个体工商户被列入经营异常名录信息</w:t>
            </w: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CE9F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当前未被列入经营异常名录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7551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BF04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《企业信用评价指标》（GB/T 23794-2023）</w:t>
            </w:r>
          </w:p>
        </w:tc>
      </w:tr>
      <w:tr w14:paraId="7AEC5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CC12F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B8611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A578E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BD259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58B15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A5CD9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FEF07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2D1C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当前被列入经营异常名录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E17C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B582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FA5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686541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41066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0DD19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62612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E846F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非正常户信息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196C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8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C7F9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个体工商户被认定为非正常户信息</w:t>
            </w: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9152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税务正常户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193A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7632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《个体工商户公共信用评价规范》（DB4403/T 421—2023）、《公共信用评价规范》（DB33/T 1331-2023）</w:t>
            </w:r>
          </w:p>
        </w:tc>
      </w:tr>
      <w:tr w14:paraId="161A0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432F9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1AD37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822C6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56C9F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CCC37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F9AF7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0E952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BCF1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税务非正常户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C529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8C98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205D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5E6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遵纪守法</w:t>
            </w:r>
          </w:p>
        </w:tc>
        <w:tc>
          <w:tcPr>
            <w:tcW w:w="7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4D54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B3C8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default" w:ascii="Times New Roman" w:hAnsi="Times New Roman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司法信息</w:t>
            </w:r>
          </w:p>
        </w:tc>
        <w:tc>
          <w:tcPr>
            <w:tcW w:w="7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3730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B720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被执行人信息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EAB0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8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374D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个体工商户被列入被执行人名单</w:t>
            </w: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70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近3年内无被执行人信息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4E51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6E674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《企业信用评价指标》（GB/T 23794-2023）</w:t>
            </w:r>
          </w:p>
        </w:tc>
      </w:tr>
      <w:tr w14:paraId="154E8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9D173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26ED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8AA3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7FF7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5765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FEB0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CD6A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31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近3年内被执行人信息为1条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8C34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32C3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969D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1A4B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5F6F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9521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CAEA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116D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BB6E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06C5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28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近3年内被执行人信息为2条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7416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84AB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07B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68D4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F076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AE1D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8489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61D4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F03F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96A6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27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近3年内被执行人信息大于等于3条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464C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FB0E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913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C11DD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40C6F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5E236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CB7D3B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775F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司法判决信息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884D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8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2C3F5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个体工商户司法判决败诉信息</w:t>
            </w: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C9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近3年内无司法判决败诉信息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A919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26EA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《企业信用评价指标》（GB/T 23794-2023）</w:t>
            </w:r>
          </w:p>
        </w:tc>
      </w:tr>
      <w:tr w14:paraId="56DF4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07C88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59A1B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2165F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77E92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6D779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33530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A9668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FF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2B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近3年内司法判决败诉信息为1条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5C90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026A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9AA2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36A1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C703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1F5B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8924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4AA6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C4A3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87E0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58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近3年内司法判决败诉信息为2条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AE38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86C6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EAD2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DF9F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DA99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F07D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6E53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23EA6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25B00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2CF2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37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近3年内司法判决败诉信息为3条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29EA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E210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29ED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D519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94F0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A882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9B97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50D6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F4F5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EE7C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CA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近3年内司法判决败诉信息大于3条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C079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B535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543A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1FDF4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C6FAFD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3C10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7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E439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DB30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行政处罚信息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8732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28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C76F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个体工商户受到的行政处罚信息，未修复的</w:t>
            </w: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88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近3年内无行政处罚信息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7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4D59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《企业信用评价指标》（GB/T 23794-2023）</w:t>
            </w:r>
          </w:p>
        </w:tc>
      </w:tr>
      <w:tr w14:paraId="3B71B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4BC67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2EB99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09B3E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BD697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FCC0B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E5A9D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8E083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E4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近3年有1条除严重失信行为、严重行政处罚等情形外的非简易程序行政处罚信息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B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0A69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C121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8912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23CA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501C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F7FA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0265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CDCB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6106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A7D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近3年有2条除严重失信行为、严重行政处罚等情形外的非简易程序行政处罚信息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3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9996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5A38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B223C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A377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A9B7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74F4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3308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1619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BD3A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A7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近3年有3条除严重失信行为、严重行政处罚等情形外的非简易程序行政处罚信息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F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8C8F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D850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1EC4C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08454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EC49B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022EC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7DE24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B888C2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84BA3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98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近3年有3条以上除严重失信行为、严重行政处罚等情形外的非简易程序行政处罚信息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51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DAD7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6ACA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6C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5B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89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50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97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CB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517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5F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有涉及因严重危害人民群众身体健康和生命安全、破坏市场公平竞争和社会正常秩序行为被处以行政处罚，其他被处以责令停产停业、吊销证照的行政处罚，以及法律法规规定或行政处罚部门认定为严重情形的行政处罚信息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A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2F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C883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9E072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D74BF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F55D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7E98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DCCC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行政强制信息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1C03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8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8B986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个体工商户被行政强制的信息</w:t>
            </w: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7CFF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近3年内无行政强制信息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D4D1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25C0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E82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A1FEF5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1CFDD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99452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9B5A9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B3A1A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38C2C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8485B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18B9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近3年内有行政强制信息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C31F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0F14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877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C518A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05885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78F5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EA54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59E5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行政监督检查信息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3E06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8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A975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个体工商户在行政检查中的结果信息</w:t>
            </w: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620B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近3年内在行政检查中未发现问题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8890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B21F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0EF9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02A58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F7B43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98E55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2E4A57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5E7FD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87064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D4385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EF2A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近3年内在行政检查中被发现问题1次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8AC8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0DCD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4008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A981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15B53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91EB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B1A8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0400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8E9C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FADE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F713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近3年内在行政检查中被发现问题2次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6ED7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5F85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4AD5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C8D2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C0A6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55B1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C3904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8ACE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9EC3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C0E64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E9DC1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近3年内在行政检查中被发现问题3次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7F2A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B597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ECA3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9A973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54A3E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F6ED0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05B23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4CB3F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E092F0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BE2D7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449A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近3年内在行政检查中被发现问题大于3次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6EF4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06A3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693A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3A4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/>
              <w:ind w:left="0" w:leftChars="0" w:hanging="57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履约践诺</w:t>
            </w:r>
          </w:p>
        </w:tc>
        <w:tc>
          <w:tcPr>
            <w:tcW w:w="7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AF9A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BF2B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拖欠公用事业费用</w:t>
            </w:r>
          </w:p>
        </w:tc>
        <w:tc>
          <w:tcPr>
            <w:tcW w:w="7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BF7A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4E7B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hd w:val="clear"/>
              <w:ind w:hanging="57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拖欠水、电、气信息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D54D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45</w:t>
            </w:r>
          </w:p>
        </w:tc>
        <w:tc>
          <w:tcPr>
            <w:tcW w:w="28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6238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个体工商户拖欠水费、电费、气费的信息</w:t>
            </w: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F92D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近3年内无拖欠水费、电费、气费信息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B8C8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ACCD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《个体工商户公共信用评价规范》（DB4403/T 421—2023）</w:t>
            </w:r>
          </w:p>
        </w:tc>
      </w:tr>
      <w:tr w14:paraId="74A70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EDDB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AF1E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6243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281E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E58F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D0C0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A60D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69FD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近3年内有拖欠水费、电费、气费信息中任意一个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BD2A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BC05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D3A3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CE62E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8DD7F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2D2E2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8E052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916F3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6DEF0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87830E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8D8D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近3年内有拖欠水费、电费、气费信息中任意两个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A58D6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15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EBBAA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353A3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BAC3F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4C88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8544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905E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E6F63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B3117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D6B6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DD44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近3年内均有拖欠水费、电费、气费信息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06FB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139C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4D03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E42FC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3C29F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1DF1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信用承诺</w:t>
            </w:r>
          </w:p>
        </w:tc>
        <w:tc>
          <w:tcPr>
            <w:tcW w:w="7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5858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DC2D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信用承诺履行状况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73EF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8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E466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个体工商户信用承诺履行情况</w:t>
            </w: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1D00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近3年内信用承诺全部履行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86BB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03F53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《企业信用评价指标》（GB/T 23794-2023）</w:t>
            </w:r>
          </w:p>
        </w:tc>
      </w:tr>
      <w:tr w14:paraId="05EFA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3C99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5305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CFAA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75EA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0EF4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6AB9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4C90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2BE09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近3年内信用承诺未履行数量为1条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8D04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1DF7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E05E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8557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5D1D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1C1C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6BF0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9C67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2305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9B59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7962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近3年内信用承诺未履行数量为2条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47AB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7817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C919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62D0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221E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028E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8003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2C7A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91DF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CA6F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7247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其近3年内信用承诺未履行数量大于等于3条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0AEC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8885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5D43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DA732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A3211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F8C5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税费信息</w:t>
            </w:r>
          </w:p>
        </w:tc>
        <w:tc>
          <w:tcPr>
            <w:tcW w:w="7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1653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E8AD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税收缴纳信息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AF4D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8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23E7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个体工商户税收欠缴信息</w:t>
            </w: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48A9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近3年内无税收欠缴信息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4E41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F55FF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《个体工商户公共信用评价规范》（DB4403/T 421—2023）、《公共信用评价规范》（DB33/T 1331-2023）</w:t>
            </w:r>
          </w:p>
        </w:tc>
      </w:tr>
      <w:tr w14:paraId="7B407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7282C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C2898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A9EA3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F0C24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06986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6EFA4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B1453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B37F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近3年内有税收欠缴信息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6EFB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A911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1AA0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4D3133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A74A8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CDCF6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00A64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A16C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社保缴纳信息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5958E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8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59C4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个体工商户社保费用欠缴信息</w:t>
            </w: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F67A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近3年内无社保费用欠缴信息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7399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ADD0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C322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4A875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4075F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0F214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7D9B4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8D39E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CD094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C8BA4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F9DF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近3年内有社保费用欠缴信息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966F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F1B9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572A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AEBB0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C73DD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1BCFD">
            <w:pPr>
              <w:widowControl/>
              <w:numPr>
                <w:ilvl w:val="0"/>
                <w:numId w:val="2"/>
              </w:numPr>
              <w:shd w:val="clear"/>
              <w:ind w:hanging="57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消费投诉</w:t>
            </w:r>
          </w:p>
        </w:tc>
        <w:tc>
          <w:tcPr>
            <w:tcW w:w="7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561DC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98D0B">
            <w:pPr>
              <w:widowControl/>
              <w:numPr>
                <w:ilvl w:val="0"/>
                <w:numId w:val="3"/>
              </w:numPr>
              <w:shd w:val="clear"/>
              <w:ind w:hanging="57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有效消费投诉信息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0792A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8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619B7">
            <w:pPr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个体工商户在保护消费者权益委员会受到投诉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并拒绝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接受调解的情况</w:t>
            </w: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897E2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近3年内无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拒绝接受消费投诉调解的情况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F657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6F5D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《个体工商户公共信用评价规范》（DB4403/T 421—2023）、《公共信用评价规范》（DB33/T 1331-2023）</w:t>
            </w:r>
          </w:p>
        </w:tc>
      </w:tr>
      <w:tr w14:paraId="57398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D267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96BF4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0835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AAE8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6F60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666F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FE089">
            <w:pPr>
              <w:widowControl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3199F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近3年内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拒绝接受消费投诉调解的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信息1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3条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2030B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4EA0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BFE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0131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B659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C549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8094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C283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82CD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63C554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DED13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近3年内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拒绝接受消费投诉调解的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信息大于3条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4B50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BD22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7C8F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63F80">
            <w:pPr>
              <w:numPr>
                <w:ilvl w:val="0"/>
                <w:numId w:val="1"/>
              </w:numPr>
              <w:shd w:val="clear"/>
              <w:ind w:left="0" w:leftChars="0" w:hanging="57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发展创新</w:t>
            </w:r>
          </w:p>
        </w:tc>
        <w:tc>
          <w:tcPr>
            <w:tcW w:w="7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D0B1C">
            <w:pPr>
              <w:shd w:val="clear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72699">
            <w:pPr>
              <w:numPr>
                <w:ilvl w:val="0"/>
                <w:numId w:val="2"/>
              </w:numPr>
              <w:shd w:val="clear"/>
              <w:ind w:left="0" w:leftChars="0" w:hanging="57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资质许可</w:t>
            </w:r>
          </w:p>
        </w:tc>
        <w:tc>
          <w:tcPr>
            <w:tcW w:w="7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1D4B0">
            <w:pPr>
              <w:shd w:val="clear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1FDF6">
            <w:pPr>
              <w:numPr>
                <w:ilvl w:val="0"/>
                <w:numId w:val="3"/>
              </w:numPr>
              <w:shd w:val="clear"/>
              <w:ind w:left="0" w:leftChars="0" w:hanging="57" w:firstLineChars="0"/>
              <w:jc w:val="left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资质许可证书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25AC1">
            <w:pPr>
              <w:shd w:val="clear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28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0EE35">
            <w:pPr>
              <w:shd w:val="clear"/>
              <w:jc w:val="left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获得行政许可信息、资质证书信息（不含过期或失效的证件）</w:t>
            </w: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A5DE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资质许可证书大于3份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04C4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2CCB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《企业信用评价指标》（GB/T 23794-2023）</w:t>
            </w:r>
          </w:p>
        </w:tc>
      </w:tr>
      <w:tr w14:paraId="6802D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CC24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6E20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9EDB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E72F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50DA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F967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6F9B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EFF4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资质许可证书为3份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AC4C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5152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D5C1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94B6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ADD3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769D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8A69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61A0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BFB6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A2CC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C825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资质许可证书为2份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4679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624D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BC0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455C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FC6A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CDFF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3921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31D7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B25B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1A14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3DCD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资质许可证书为1份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A541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0105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FF96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EB33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426A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6094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56E7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3D42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8B6B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0B1A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B15E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无资质许可证书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698C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9C6B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DF7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3B0C6">
            <w:pPr>
              <w:shd w:val="clear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F5A8B">
            <w:pPr>
              <w:shd w:val="clear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8FB96">
            <w:pPr>
              <w:numPr>
                <w:ilvl w:val="0"/>
                <w:numId w:val="2"/>
              </w:numPr>
              <w:shd w:val="clear"/>
              <w:ind w:left="0" w:leftChars="0" w:hanging="57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知识产权</w:t>
            </w:r>
          </w:p>
        </w:tc>
        <w:tc>
          <w:tcPr>
            <w:tcW w:w="7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00A46">
            <w:pPr>
              <w:shd w:val="clear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EDA59">
            <w:pPr>
              <w:numPr>
                <w:ilvl w:val="0"/>
                <w:numId w:val="3"/>
              </w:numPr>
              <w:shd w:val="clear"/>
              <w:ind w:left="0" w:leftChars="0" w:hanging="57" w:firstLineChars="0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知识产权信息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C50EA">
            <w:pPr>
              <w:shd w:val="clear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28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31DDB">
            <w:pPr>
              <w:shd w:val="clear"/>
              <w:jc w:val="left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个体工商户及经营者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在知识产权方面做出的成果，如专利、著作权、商标、学术研究成果等</w:t>
            </w: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FBEF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知识产权数量大于3条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D16D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2BDA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《企业信用评价指标》（GB/T 23794-2023）</w:t>
            </w:r>
          </w:p>
        </w:tc>
      </w:tr>
      <w:tr w14:paraId="00726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3155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A725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8B77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A80B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87F1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DC24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E7B06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F13E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知识产权数量为3条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3628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A624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9607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EDB2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1590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7CCD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FD3A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3BB5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70A81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4254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AD3C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知识产权数量为2条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7350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ACA5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B7D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FDA7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FD6C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A8FD9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6B09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D662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583F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C66B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2E53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知识产权数量为1条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967D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3C56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006F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7985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3857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81A0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A46A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C3FF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FC81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8F5C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8FE2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无知识产权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A3DB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21CC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18DA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74F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社会责任</w:t>
            </w:r>
          </w:p>
        </w:tc>
        <w:tc>
          <w:tcPr>
            <w:tcW w:w="7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5410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A761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劳资关系</w:t>
            </w:r>
          </w:p>
        </w:tc>
        <w:tc>
          <w:tcPr>
            <w:tcW w:w="7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D8C6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972C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劳动仲裁信息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F4F0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8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18FA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个体工商户劳动仲裁败诉或承担责任情况</w:t>
            </w: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52AD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近3年内无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劳动仲裁败诉或承担责任信息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29CC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9D76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《企业信用评价指标》（GB/T 23794-2023）</w:t>
            </w:r>
          </w:p>
        </w:tc>
      </w:tr>
      <w:tr w14:paraId="1194C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F388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AE7C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DE2B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F2B9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9648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5798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1B92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6DFB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劳动仲裁败诉或承担责任信息为1条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7C50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D6A6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B3D2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9CED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8CAA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FE24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9861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742E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918A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75C1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0D35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劳动仲裁败诉或承担责任信息为2条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CCCE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5E3F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0851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6BA0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EA4C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15E1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67A9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EC1E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11A0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DC89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25D2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劳动仲裁败诉或承担责任信息为3条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AAE6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ABC9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3ED7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0D08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2554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508FC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3DCE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B5ED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AAA3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CBAE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4C17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劳动仲裁败诉或承担责任信息大于3条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8682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D492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E714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A19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7B1C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7697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安全生产信息</w:t>
            </w:r>
          </w:p>
        </w:tc>
        <w:tc>
          <w:tcPr>
            <w:tcW w:w="7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DA33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E703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安全生产严重失信信息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BB02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8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4534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个体工商户安全生产严重失信信息</w:t>
            </w: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00E0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近3年内无安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全生产严重失信信息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8596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A67A7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《企业信用评价指标》（GB/T 23794-2023）</w:t>
            </w:r>
          </w:p>
        </w:tc>
      </w:tr>
      <w:tr w14:paraId="64115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71B1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DCD9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CC48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818D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09F2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6DE5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58C3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C722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近3年内有安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全生产严重失信信息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1D9F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A9AD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51799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2E6A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7E08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BB02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守信奖励</w:t>
            </w:r>
          </w:p>
        </w:tc>
        <w:tc>
          <w:tcPr>
            <w:tcW w:w="7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4597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536A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荣誉奖励信息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5254A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8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E45A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个体工商户或经营者获得政府部门认可的荣誉、表彰、激励信息（若同一事项获得多个荣誉，按照最高级别进行评分，不重复计分）</w:t>
            </w: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E4F3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近3年内获得省级及以上表彰奖励，得40分</w:t>
            </w:r>
          </w:p>
        </w:tc>
        <w:tc>
          <w:tcPr>
            <w:tcW w:w="78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07FD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荣誉得分累加计算，最高不超过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0分。</w:t>
            </w:r>
          </w:p>
        </w:tc>
        <w:tc>
          <w:tcPr>
            <w:tcW w:w="1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60D8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《企业信用评价指标》（GB/T 23794-2023）</w:t>
            </w:r>
          </w:p>
        </w:tc>
      </w:tr>
      <w:tr w14:paraId="5802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A27D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8F86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A0E6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5B23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B2A8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CBF0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3331B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E35E7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近3年内获得市级表彰奖励，得30分/条</w:t>
            </w:r>
          </w:p>
        </w:tc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974B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C0CE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4D65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DB3D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8C6C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A06C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B041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2CB7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6F96C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E0EF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BC10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近3年内获得县（区）级表彰奖励，得20分/条</w:t>
            </w:r>
          </w:p>
        </w:tc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9655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0315B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13E0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0C19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AF86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45EE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D8B2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8FA8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B01C8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500F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461F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近3年内获得镇（街道）表彰奖励，得10分/条</w:t>
            </w:r>
          </w:p>
        </w:tc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51443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ACA9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53D9B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EEA2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33A9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F3A5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2484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2759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4850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D373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9AAE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近3年内未获得表彰奖励，得0分</w:t>
            </w:r>
          </w:p>
        </w:tc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D0A4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2FF6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2A4C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EB7B7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D7DB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D02A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社会公益</w:t>
            </w:r>
          </w:p>
        </w:tc>
        <w:tc>
          <w:tcPr>
            <w:tcW w:w="7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3B5E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6B79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慈善捐赠信息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438D1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8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8E2F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个体工商户或经营者组织/参与慈善捐赠活动信息</w:t>
            </w: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27FE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近3年内组织/参与慈善捐赠活动3次及以上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156F9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AC18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《企业信用评价指标》（GB/T 23794-2023）</w:t>
            </w:r>
          </w:p>
        </w:tc>
      </w:tr>
      <w:tr w14:paraId="48BF0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BD12B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7AE6D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7335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F115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3DE4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9170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71EC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5AFE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近3年内组织/参与慈善捐赠活动2次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3EB5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73E2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DD2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C3FC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E9B1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412C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203B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35E4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5806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0230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08A7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近3年内组织/参与慈善捐赠活动1次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1D04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CC76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E774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D9BE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53883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6B70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C249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4BA8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7842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07BF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74F5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近3年内未组织/参与慈善捐赠活动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43B6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26CA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2088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4270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474C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522B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FE58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3675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hd w:val="clear"/>
              <w:ind w:left="0" w:leftChars="0" w:hanging="57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志愿服务信息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6840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8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106F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个体工商户或经营者组织/参加志愿服务活动信息</w:t>
            </w: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E09B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近3年内组织/参加志愿服务活动3次及以上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44C1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B80C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《个体工商户公共信用评价规范》（DB4403/T 421—2023）、《公共信用评价规范》（DB33/T 1331-2023）</w:t>
            </w:r>
          </w:p>
        </w:tc>
      </w:tr>
      <w:tr w14:paraId="5D279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C209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165D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1417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6FB4D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4359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4796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3C3F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2927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近3年内组织/参加志愿服务活动2次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61CC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CEE2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94E8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82E1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F09C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3D1A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ACEB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9E3A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6133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378E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5B73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近3年内组织/参加志愿服务活动1次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5A98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4734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A008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5EF6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CB3C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E4F0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160A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1E8E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D079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D5E4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7BC1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近3年内未组织/参加志愿服务活动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7D14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D599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60844FA2">
      <w:pPr>
        <w:numPr>
          <w:ilvl w:val="0"/>
          <w:numId w:val="0"/>
        </w:numPr>
        <w:shd w:val="clear"/>
        <w:ind w:firstLine="0" w:firstLineChars="0"/>
        <w:rPr>
          <w:rFonts w:hint="eastAsia" w:ascii="Times New Roman" w:hAnsi="Times New Roman" w:eastAsia="仿宋_GB2312" w:cs="仿宋_GB2312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注：1.若个体工商户注册未满3年，则以其所有年度的信用信息作为评分依据；</w:t>
      </w:r>
    </w:p>
    <w:p w14:paraId="18E512E4">
      <w:pPr>
        <w:numPr>
          <w:ilvl w:val="0"/>
          <w:numId w:val="0"/>
        </w:numPr>
        <w:shd w:val="clear"/>
        <w:ind w:firstLine="420" w:firstLineChars="200"/>
        <w:rPr>
          <w:rFonts w:hint="default" w:ascii="Times New Roman" w:hAnsi="Times New Roman" w:eastAsia="仿宋_GB2312" w:cs="仿宋_GB2312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2.当同一信用信息或同一事项符合评分标准中多个指标时，按照“就高不就低”原则执行，不重复计分；</w:t>
      </w:r>
    </w:p>
    <w:p w14:paraId="50F3EA59">
      <w:pPr>
        <w:numPr>
          <w:ilvl w:val="0"/>
          <w:numId w:val="0"/>
        </w:numPr>
        <w:shd w:val="clear"/>
        <w:ind w:firstLine="0" w:firstLineChars="0"/>
        <w:rPr>
          <w:rFonts w:hint="default" w:ascii="Times New Roman" w:hAnsi="Times New Roman" w:eastAsia="仿宋_GB2312" w:cs="仿宋_GB2312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3.个体工商户被有关国家机关列入严重失信主体名单信息，未修复的，直接列入D级。</w:t>
      </w:r>
    </w:p>
    <w:p w14:paraId="6A9C096E">
      <w:pPr>
        <w:numPr>
          <w:ilvl w:val="0"/>
          <w:numId w:val="0"/>
        </w:numPr>
        <w:shd w:val="clear"/>
        <w:ind w:firstLine="0" w:firstLineChars="0"/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 w14:paraId="75094C81">
      <w:pPr>
        <w:numPr>
          <w:ilvl w:val="0"/>
          <w:numId w:val="0"/>
        </w:numPr>
        <w:shd w:val="clear"/>
        <w:ind w:firstLine="0" w:firstLineChars="0"/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 w14:paraId="6B3A8474">
      <w:pPr>
        <w:numPr>
          <w:ilvl w:val="0"/>
          <w:numId w:val="0"/>
        </w:numPr>
        <w:shd w:val="clear"/>
        <w:ind w:firstLine="0" w:firstLineChars="0"/>
        <w:rPr>
          <w:rFonts w:hint="default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sectPr>
          <w:headerReference r:id="rId3" w:type="default"/>
          <w:footerReference r:id="rId4" w:type="default"/>
          <w:pgSz w:w="16838" w:h="11906" w:orient="landscape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275653DC">
      <w:pPr>
        <w:pStyle w:val="7"/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bidi w:val="0"/>
        <w:adjustRightInd/>
        <w:snapToGrid/>
        <w:spacing w:beforeLines="0" w:afterLines="0" w:line="580" w:lineRule="exact"/>
        <w:jc w:val="center"/>
        <w:textAlignment w:val="auto"/>
        <w:rPr>
          <w:rFonts w:hint="eastAsia" w:ascii="Times New Roman" w:hAnsi="Times New Roman" w:eastAsia="黑体" w:cs="黑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highlight w:val="none"/>
          <w:lang w:val="en-US" w:eastAsia="zh-CN" w:bidi="ar-SA"/>
        </w:rPr>
        <w:t>等级划分及释义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3450"/>
        <w:gridCol w:w="3855"/>
      </w:tblGrid>
      <w:tr w14:paraId="42B0C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4761B3A6">
            <w:pPr>
              <w:pStyle w:val="8"/>
              <w:ind w:firstLine="0" w:firstLineChars="0"/>
              <w:jc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szCs w:val="21"/>
              </w:rPr>
              <w:t>等    级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B0E7526">
            <w:pPr>
              <w:pStyle w:val="8"/>
              <w:ind w:firstLine="0" w:firstLineChars="0"/>
              <w:jc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szCs w:val="21"/>
              </w:rPr>
              <w:t>评定得分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1CADAB8">
            <w:pPr>
              <w:pStyle w:val="8"/>
              <w:ind w:firstLine="0" w:firstLineChars="0"/>
              <w:jc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szCs w:val="21"/>
              </w:rPr>
              <w:t>释    义</w:t>
            </w:r>
          </w:p>
        </w:tc>
      </w:tr>
      <w:tr w14:paraId="5EB29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55" w:type="dxa"/>
            <w:vAlign w:val="center"/>
          </w:tcPr>
          <w:p w14:paraId="66C75FA2">
            <w:pPr>
              <w:pStyle w:val="8"/>
              <w:ind w:firstLine="0" w:firstLineChars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A</w:t>
            </w:r>
          </w:p>
        </w:tc>
        <w:tc>
          <w:tcPr>
            <w:tcW w:w="3450" w:type="dxa"/>
            <w:vAlign w:val="center"/>
          </w:tcPr>
          <w:p w14:paraId="5FE94CE1">
            <w:pPr>
              <w:pStyle w:val="8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val="en-US" w:eastAsia="zh-CN"/>
              </w:rPr>
              <w:t>850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（含）-</w:t>
            </w:r>
            <w:r>
              <w:rPr>
                <w:rFonts w:hint="eastAsia" w:ascii="Times New Roman" w:hAnsi="Times New Roman" w:eastAsia="仿宋_GB2312" w:cs="仿宋_GB2312"/>
                <w:szCs w:val="21"/>
                <w:lang w:val="en-US" w:eastAsia="zh-CN"/>
              </w:rPr>
              <w:t>1000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（含）</w:t>
            </w:r>
          </w:p>
        </w:tc>
        <w:tc>
          <w:tcPr>
            <w:tcW w:w="3855" w:type="dxa"/>
            <w:vAlign w:val="center"/>
          </w:tcPr>
          <w:p w14:paraId="1808049A">
            <w:pPr>
              <w:pStyle w:val="8"/>
              <w:ind w:firstLine="0" w:firstLineChars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信用等级最高。评价期内，未发现失信行为记录，或有激励表彰等荣誉记录。</w:t>
            </w:r>
          </w:p>
        </w:tc>
      </w:tr>
      <w:tr w14:paraId="3A90F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55" w:type="dxa"/>
            <w:vAlign w:val="center"/>
          </w:tcPr>
          <w:p w14:paraId="248147C9">
            <w:pPr>
              <w:pStyle w:val="8"/>
              <w:ind w:firstLine="0" w:firstLineChars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B</w:t>
            </w:r>
          </w:p>
        </w:tc>
        <w:tc>
          <w:tcPr>
            <w:tcW w:w="3450" w:type="dxa"/>
            <w:vAlign w:val="center"/>
          </w:tcPr>
          <w:p w14:paraId="34965888">
            <w:pPr>
              <w:pStyle w:val="8"/>
              <w:ind w:firstLine="0" w:firstLineChars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val="en-US" w:eastAsia="zh-CN"/>
              </w:rPr>
              <w:t>700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（含）-</w:t>
            </w:r>
            <w:r>
              <w:rPr>
                <w:rFonts w:hint="eastAsia" w:ascii="Times New Roman" w:hAnsi="Times New Roman" w:eastAsia="仿宋_GB2312" w:cs="仿宋_GB2312"/>
                <w:szCs w:val="21"/>
                <w:lang w:val="en-US" w:eastAsia="zh-CN"/>
              </w:rPr>
              <w:t>850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（不含）</w:t>
            </w:r>
          </w:p>
        </w:tc>
        <w:tc>
          <w:tcPr>
            <w:tcW w:w="3855" w:type="dxa"/>
            <w:vAlign w:val="center"/>
          </w:tcPr>
          <w:p w14:paraId="2B1D1C43">
            <w:pPr>
              <w:pStyle w:val="8"/>
              <w:ind w:firstLine="0" w:firstLineChars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信用等级较高。评价期内，未发现严重失信行为记录。</w:t>
            </w:r>
          </w:p>
        </w:tc>
      </w:tr>
      <w:tr w14:paraId="10F04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55" w:type="dxa"/>
            <w:vAlign w:val="center"/>
          </w:tcPr>
          <w:p w14:paraId="731CA9F2">
            <w:pPr>
              <w:pStyle w:val="8"/>
              <w:ind w:firstLine="0" w:firstLineChars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C</w:t>
            </w:r>
          </w:p>
        </w:tc>
        <w:tc>
          <w:tcPr>
            <w:tcW w:w="3450" w:type="dxa"/>
            <w:vAlign w:val="center"/>
          </w:tcPr>
          <w:p w14:paraId="1B8D5E09">
            <w:pPr>
              <w:pStyle w:val="8"/>
              <w:ind w:firstLine="0" w:firstLineChars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val="en-US" w:eastAsia="zh-CN"/>
              </w:rPr>
              <w:t>550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（含）-</w:t>
            </w:r>
            <w:r>
              <w:rPr>
                <w:rFonts w:hint="eastAsia" w:ascii="Times New Roman" w:hAnsi="Times New Roman" w:eastAsia="仿宋_GB2312" w:cs="仿宋_GB2312"/>
                <w:szCs w:val="21"/>
                <w:lang w:val="en-US" w:eastAsia="zh-CN"/>
              </w:rPr>
              <w:t>700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（不含）</w:t>
            </w:r>
          </w:p>
        </w:tc>
        <w:tc>
          <w:tcPr>
            <w:tcW w:w="3855" w:type="dxa"/>
            <w:vAlign w:val="center"/>
          </w:tcPr>
          <w:p w14:paraId="39779B25">
            <w:pPr>
              <w:pStyle w:val="8"/>
              <w:ind w:firstLine="0" w:firstLineChars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信用等级较低。评价期内，存在一定违法失信行为记录。</w:t>
            </w:r>
          </w:p>
        </w:tc>
      </w:tr>
      <w:tr w14:paraId="7BCAC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55" w:type="dxa"/>
            <w:vAlign w:val="center"/>
          </w:tcPr>
          <w:p w14:paraId="64C6256D">
            <w:pPr>
              <w:pStyle w:val="8"/>
              <w:ind w:firstLine="0" w:firstLineChars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D</w:t>
            </w:r>
          </w:p>
        </w:tc>
        <w:tc>
          <w:tcPr>
            <w:tcW w:w="3450" w:type="dxa"/>
            <w:vAlign w:val="center"/>
          </w:tcPr>
          <w:p w14:paraId="49830F52"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val="en-US" w:eastAsia="zh-CN"/>
              </w:rPr>
              <w:t>550以下</w:t>
            </w:r>
          </w:p>
        </w:tc>
        <w:tc>
          <w:tcPr>
            <w:tcW w:w="3855" w:type="dxa"/>
            <w:vAlign w:val="center"/>
          </w:tcPr>
          <w:p w14:paraId="12E1EAF3">
            <w:pPr>
              <w:pStyle w:val="8"/>
              <w:ind w:firstLine="0" w:firstLineChars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信用等级最低。评价期内，存在较多违法失信行为或严重失信行为记录。</w:t>
            </w:r>
          </w:p>
        </w:tc>
      </w:tr>
    </w:tbl>
    <w:p w14:paraId="1E33076C">
      <w:pPr>
        <w:shd w:val="clear"/>
        <w:rPr>
          <w:rFonts w:hint="default" w:ascii="Times New Roman" w:hAnsi="Times New Roman" w:eastAsia="仿宋_GB2312" w:cs="Times New Roman"/>
          <w:bCs/>
          <w:kern w:val="2"/>
          <w:sz w:val="32"/>
          <w:szCs w:val="44"/>
          <w:highlight w:val="none"/>
          <w:lang w:val="en-US" w:eastAsia="zh-CN" w:bidi="ar-SA"/>
        </w:rPr>
      </w:pPr>
    </w:p>
    <w:p w14:paraId="78CDBE50">
      <w:pPr>
        <w:pStyle w:val="9"/>
        <w:rPr>
          <w:rFonts w:hint="default" w:ascii="Times New Roman" w:hAnsi="Times New Roman"/>
          <w:lang w:val="en-US" w:eastAsia="zh-CN"/>
        </w:rPr>
        <w:sectPr>
          <w:pgSz w:w="11906" w:h="16838"/>
          <w:pgMar w:top="2041" w:right="1531" w:bottom="1984" w:left="1531" w:header="851" w:footer="992" w:gutter="0"/>
          <w:pgNumType w:fmt="decimal"/>
          <w:cols w:space="425" w:num="1"/>
          <w:titlePg/>
          <w:docGrid w:linePitch="326" w:charSpace="0"/>
        </w:sectPr>
      </w:pPr>
    </w:p>
    <w:p w14:paraId="3E75E9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8928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32405F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32405F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28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33DCC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4D374E"/>
    <w:multiLevelType w:val="singleLevel"/>
    <w:tmpl w:val="864D374E"/>
    <w:lvl w:ilvl="0" w:tentative="0">
      <w:start w:val="1"/>
      <w:numFmt w:val="chineseCounting"/>
      <w:suff w:val="nothing"/>
      <w:lvlText w:val="（%1）"/>
      <w:lvlJc w:val="left"/>
      <w:pPr>
        <w:ind w:left="0" w:hanging="57"/>
      </w:pPr>
      <w:rPr>
        <w:rFonts w:hint="eastAsia" w:ascii="仿宋_GB2312" w:hAnsi="仿宋_GB2312" w:eastAsia="仿宋_GB2312" w:cs="仿宋_GB2312"/>
        <w:sz w:val="21"/>
        <w:szCs w:val="21"/>
      </w:rPr>
    </w:lvl>
  </w:abstractNum>
  <w:abstractNum w:abstractNumId="1">
    <w:nsid w:val="E8690B1B"/>
    <w:multiLevelType w:val="singleLevel"/>
    <w:tmpl w:val="E8690B1B"/>
    <w:lvl w:ilvl="0" w:tentative="0">
      <w:start w:val="1"/>
      <w:numFmt w:val="decimal"/>
      <w:suff w:val="nothing"/>
      <w:lvlText w:val="%1."/>
      <w:lvlJc w:val="left"/>
      <w:pPr>
        <w:ind w:left="0" w:leftChars="0" w:hanging="57" w:firstLineChars="0"/>
      </w:pPr>
      <w:rPr>
        <w:rFonts w:hint="default"/>
      </w:rPr>
    </w:lvl>
  </w:abstractNum>
  <w:abstractNum w:abstractNumId="2">
    <w:nsid w:val="F09618A5"/>
    <w:multiLevelType w:val="singleLevel"/>
    <w:tmpl w:val="F09618A5"/>
    <w:lvl w:ilvl="0" w:tentative="0">
      <w:start w:val="1"/>
      <w:numFmt w:val="chineseCounting"/>
      <w:suff w:val="nothing"/>
      <w:lvlText w:val="%1、"/>
      <w:lvlJc w:val="left"/>
      <w:pPr>
        <w:ind w:left="0" w:hanging="57"/>
      </w:pPr>
      <w:rPr>
        <w:rFonts w:hint="eastAsia" w:ascii="仿宋_GB2312" w:hAnsi="仿宋_GB2312" w:eastAsia="仿宋_GB2312" w:cs="仿宋_GB2312"/>
        <w:b/>
        <w:bCs/>
        <w:sz w:val="21"/>
        <w:szCs w:val="21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32FC7"/>
    <w:rsid w:val="74C3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公文处理助手-正文样式"/>
    <w:qFormat/>
    <w:uiPriority w:val="0"/>
    <w:pPr>
      <w:widowControl w:val="0"/>
      <w:spacing w:line="581" w:lineRule="exact"/>
      <w:ind w:firstLine="20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44"/>
      <w:lang w:val="en-US" w:eastAsia="zh-CN" w:bidi="ar-SA"/>
    </w:rPr>
  </w:style>
  <w:style w:type="paragraph" w:customStyle="1" w:styleId="7">
    <w:name w:val="正文表标题"/>
    <w:next w:val="8"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2024-11-25T02:13:00Z</dcterms:created>
  <dc:creator>。</dc:creator>
  <cp:lastModifiedBy>。</cp:lastModifiedBy>
  <dcterms:modified xsi:type="dcterms:W3CDTF">2024-11-25T02:14:05Z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ADD13A5C8DB641AE89C646F7E5861A8F_11</vt:lpwstr>
  </property>
</Properties>
</file>